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975946" w14:textId="2EB753C6" w:rsidR="00E01F18" w:rsidRDefault="007A1666" w:rsidP="00624792">
      <w:pPr>
        <w:sectPr w:rsidR="00E01F18" w:rsidSect="00AB7A73">
          <w:headerReference w:type="default" r:id="rId8"/>
          <w:footerReference w:type="first" r:id="rId9"/>
          <w:pgSz w:w="11906" w:h="16838"/>
          <w:pgMar w:top="284" w:right="140" w:bottom="567" w:left="142" w:header="708" w:footer="708" w:gutter="0"/>
          <w:pgNumType w:start="1"/>
          <w:cols w:space="708"/>
          <w:titlePg/>
          <w:docGrid w:linePitch="360"/>
        </w:sectPr>
      </w:pPr>
      <w:r>
        <w:rPr>
          <w:noProof/>
        </w:rPr>
        <w:drawing>
          <wp:inline distT="0" distB="0" distL="0" distR="0" wp14:anchorId="4A1597B7" wp14:editId="011D37D9">
            <wp:extent cx="7387200" cy="9828000"/>
            <wp:effectExtent l="0" t="0" r="444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a:stretch>
                      <a:fillRect/>
                    </a:stretch>
                  </pic:blipFill>
                  <pic:spPr>
                    <a:xfrm>
                      <a:off x="0" y="0"/>
                      <a:ext cx="7387200" cy="9828000"/>
                    </a:xfrm>
                    <a:prstGeom prst="rect">
                      <a:avLst/>
                    </a:prstGeom>
                  </pic:spPr>
                </pic:pic>
              </a:graphicData>
            </a:graphic>
          </wp:inline>
        </w:drawing>
      </w:r>
    </w:p>
    <w:p w14:paraId="07CFEE7E" w14:textId="20806B9D" w:rsidR="005E6FC9" w:rsidRDefault="00862070" w:rsidP="00862070">
      <w:pPr>
        <w:pStyle w:val="Heading1"/>
      </w:pPr>
      <w:bookmarkStart w:id="0" w:name="_Toc109039033"/>
      <w:r w:rsidRPr="004D6F20">
        <w:lastRenderedPageBreak/>
        <w:t>R</w:t>
      </w:r>
      <w:r w:rsidR="00450BA8">
        <w:t>esource and R</w:t>
      </w:r>
      <w:r w:rsidRPr="004D6F20">
        <w:t xml:space="preserve">eserves Evaluation of </w:t>
      </w:r>
      <w:r>
        <w:t xml:space="preserve">the </w:t>
      </w:r>
      <w:r w:rsidR="00562D58">
        <w:t xml:space="preserve">Parrylands </w:t>
      </w:r>
      <w:r w:rsidRPr="004D6F20">
        <w:t>Heavy Oil field</w:t>
      </w:r>
      <w:r w:rsidR="00562D58">
        <w:t xml:space="preserve">, </w:t>
      </w:r>
      <w:r w:rsidR="00187162">
        <w:t xml:space="preserve">Block E, </w:t>
      </w:r>
      <w:r w:rsidR="00562D58">
        <w:t>Trinidad</w:t>
      </w:r>
      <w:bookmarkEnd w:id="0"/>
    </w:p>
    <w:p w14:paraId="06C466ED" w14:textId="77777777" w:rsidR="00862070" w:rsidRPr="00862070" w:rsidRDefault="00862070" w:rsidP="00862070"/>
    <w:p w14:paraId="4EFD0328" w14:textId="77777777" w:rsidR="005E6FC9" w:rsidRPr="00A40141" w:rsidRDefault="005E6FC9" w:rsidP="005E6FC9">
      <w:pPr>
        <w:pStyle w:val="Heading1"/>
      </w:pPr>
      <w:bookmarkStart w:id="1" w:name="_Toc109039034"/>
      <w:r>
        <w:t>Executive Summary</w:t>
      </w:r>
      <w:bookmarkEnd w:id="1"/>
    </w:p>
    <w:p w14:paraId="5B6EF5E3" w14:textId="77777777" w:rsidR="005E6FC9" w:rsidRDefault="005E6FC9" w:rsidP="005E6FC9">
      <w:pPr>
        <w:jc w:val="both"/>
      </w:pPr>
    </w:p>
    <w:p w14:paraId="3D95296C" w14:textId="6323BBD5" w:rsidR="00215BD4" w:rsidRDefault="00F23B23" w:rsidP="00215BD4">
      <w:pPr>
        <w:jc w:val="both"/>
      </w:pPr>
      <w:r>
        <w:t xml:space="preserve">Greenflame </w:t>
      </w:r>
      <w:r w:rsidR="000E3929">
        <w:t>Energy Inc</w:t>
      </w:r>
      <w:r w:rsidR="003C6864" w:rsidRPr="00271BC2">
        <w:t xml:space="preserve"> is seeking a</w:t>
      </w:r>
      <w:r w:rsidR="00AA4CBD">
        <w:t>n updated and upgraded</w:t>
      </w:r>
      <w:r w:rsidR="003C6864" w:rsidRPr="00271BC2">
        <w:t xml:space="preserve"> heavy oil </w:t>
      </w:r>
      <w:r w:rsidR="004279A3" w:rsidRPr="00271BC2">
        <w:t>resource</w:t>
      </w:r>
      <w:r>
        <w:t xml:space="preserve"> and </w:t>
      </w:r>
      <w:r w:rsidR="003C6864" w:rsidRPr="00271BC2">
        <w:t xml:space="preserve">reserves certification from Industry leading certifier Netherland Sewell and Associates for their </w:t>
      </w:r>
      <w:r w:rsidR="004279A3" w:rsidRPr="00271BC2">
        <w:t>proposed Heavy</w:t>
      </w:r>
      <w:r w:rsidR="004279A3">
        <w:t xml:space="preserve"> Oil</w:t>
      </w:r>
      <w:r w:rsidR="003C6864">
        <w:t xml:space="preserve"> </w:t>
      </w:r>
      <w:r>
        <w:t xml:space="preserve">development </w:t>
      </w:r>
      <w:r w:rsidR="003C6864">
        <w:t>project</w:t>
      </w:r>
      <w:r>
        <w:t xml:space="preserve"> in Block E of the Parrylands field, Trinidad</w:t>
      </w:r>
      <w:r w:rsidR="003C6864">
        <w:t>. Located</w:t>
      </w:r>
      <w:r w:rsidR="004279A3">
        <w:t xml:space="preserve"> in</w:t>
      </w:r>
      <w:r>
        <w:t xml:space="preserve"> the southern basin of Trinidad</w:t>
      </w:r>
      <w:r w:rsidR="003C6864">
        <w:t xml:space="preserve">, the </w:t>
      </w:r>
      <w:r>
        <w:t>Parrylands</w:t>
      </w:r>
      <w:r w:rsidR="004279A3">
        <w:t xml:space="preserve"> Heavy Oil</w:t>
      </w:r>
      <w:r w:rsidR="003C6864">
        <w:t xml:space="preserve"> project consists of </w:t>
      </w:r>
      <w:r w:rsidR="005E5581">
        <w:t xml:space="preserve">110 wells </w:t>
      </w:r>
      <w:r w:rsidR="00794A0D">
        <w:t xml:space="preserve">that have been drilled and completed </w:t>
      </w:r>
      <w:r w:rsidR="00C41699">
        <w:t xml:space="preserve">at a well spacing of generally 2.5 acres or less </w:t>
      </w:r>
      <w:r w:rsidR="004F4D0B">
        <w:t>an</w:t>
      </w:r>
      <w:r w:rsidR="005E5581">
        <w:t xml:space="preserve">d </w:t>
      </w:r>
      <w:r w:rsidR="00255672">
        <w:t>that</w:t>
      </w:r>
      <w:r w:rsidR="002F0779">
        <w:t>, upon investor capitalization,</w:t>
      </w:r>
      <w:r w:rsidR="00255672">
        <w:t xml:space="preserve"> are </w:t>
      </w:r>
      <w:r w:rsidR="005E5581">
        <w:t xml:space="preserve">ready for </w:t>
      </w:r>
      <w:r w:rsidR="00AA4CBD">
        <w:t xml:space="preserve">advanced EOR </w:t>
      </w:r>
      <w:r w:rsidR="005E5581">
        <w:t xml:space="preserve">injection of </w:t>
      </w:r>
      <w:r w:rsidR="00255672">
        <w:t xml:space="preserve">cyclic </w:t>
      </w:r>
      <w:r w:rsidR="00271BC2">
        <w:t xml:space="preserve">superheated steam </w:t>
      </w:r>
      <w:r w:rsidR="005E5581">
        <w:t>and flue gas (up to 100% CO</w:t>
      </w:r>
      <w:r w:rsidR="005E5581" w:rsidRPr="005E5581">
        <w:rPr>
          <w:vertAlign w:val="subscript"/>
        </w:rPr>
        <w:t>2</w:t>
      </w:r>
      <w:r w:rsidR="005E5581">
        <w:t>)</w:t>
      </w:r>
      <w:r w:rsidR="00AA4CBD">
        <w:t xml:space="preserve"> along with potential for CO</w:t>
      </w:r>
      <w:r w:rsidR="00AA4CBD" w:rsidRPr="00AA4CBD">
        <w:rPr>
          <w:vertAlign w:val="subscript"/>
        </w:rPr>
        <w:t>2</w:t>
      </w:r>
      <w:r w:rsidR="00AA4CBD">
        <w:t xml:space="preserve"> sequestration</w:t>
      </w:r>
      <w:r w:rsidR="005E5581">
        <w:t xml:space="preserve">. </w:t>
      </w:r>
      <w:r w:rsidR="005A3F29">
        <w:t xml:space="preserve">Greenflame has a production sharing agreement with New Horizon Energy (NHE) the operator of the </w:t>
      </w:r>
      <w:r w:rsidR="005B244D">
        <w:t>744</w:t>
      </w:r>
      <w:r w:rsidR="00794A0D">
        <w:t>-</w:t>
      </w:r>
      <w:r w:rsidR="005B244D">
        <w:t xml:space="preserve">acre </w:t>
      </w:r>
      <w:r w:rsidR="005A3F29">
        <w:t>Block E concession, the core</w:t>
      </w:r>
      <w:r w:rsidR="0007164C">
        <w:t xml:space="preserve"> productive acreage</w:t>
      </w:r>
      <w:r w:rsidR="00CE5056">
        <w:t xml:space="preserve"> (</w:t>
      </w:r>
      <w:r w:rsidR="00794A0D">
        <w:t xml:space="preserve">net </w:t>
      </w:r>
      <w:r w:rsidR="00CE5056">
        <w:t>reservoir</w:t>
      </w:r>
      <w:r w:rsidR="00794A0D">
        <w:t xml:space="preserve"> pay</w:t>
      </w:r>
      <w:r w:rsidR="00CE5056">
        <w:t xml:space="preserve"> thickness &gt;50’)</w:t>
      </w:r>
      <w:r w:rsidR="0007164C">
        <w:t xml:space="preserve"> of which is</w:t>
      </w:r>
      <w:r w:rsidR="00215BD4">
        <w:t xml:space="preserve"> ~</w:t>
      </w:r>
      <w:r w:rsidR="0007164C">
        <w:t>300 acres and estimated to contain</w:t>
      </w:r>
      <w:r w:rsidR="00CE5056">
        <w:t xml:space="preserve"> </w:t>
      </w:r>
      <w:r w:rsidR="0007164C">
        <w:t>81 million barrels of original oil in place</w:t>
      </w:r>
      <w:r w:rsidR="00DD647A">
        <w:t xml:space="preserve"> (OOIP)</w:t>
      </w:r>
      <w:r w:rsidR="0007164C">
        <w:t>.</w:t>
      </w:r>
      <w:r w:rsidR="00215BD4">
        <w:t xml:space="preserve"> </w:t>
      </w:r>
    </w:p>
    <w:p w14:paraId="15B2C408" w14:textId="06172C38" w:rsidR="004458F9" w:rsidRDefault="004458F9" w:rsidP="004F4D0B">
      <w:pPr>
        <w:jc w:val="both"/>
      </w:pPr>
    </w:p>
    <w:p w14:paraId="68F5DFC5" w14:textId="0DC5E6D9" w:rsidR="004458F9" w:rsidRDefault="004458F9" w:rsidP="00060280">
      <w:pPr>
        <w:spacing w:after="120"/>
        <w:jc w:val="both"/>
      </w:pPr>
      <w:r>
        <w:t>Gaffney, Cline &amp; Associates (GCA) certified 1, 2 &amp; 3P Reserves and Contingent Resources</w:t>
      </w:r>
      <w:r w:rsidR="001D1E99">
        <w:t xml:space="preserve"> for Block E</w:t>
      </w:r>
      <w:r>
        <w:t xml:space="preserve"> in 2008 on the strength of demonstrated commercial analog production from the 30-acre Petrotrin/Texaco steam pilot adjacent to the western boundary of Block E and their own comprehensive simulation studies in Block E. Most potential for reserve</w:t>
      </w:r>
      <w:r w:rsidR="00060280">
        <w:t>s</w:t>
      </w:r>
      <w:r>
        <w:t xml:space="preserve"> growth </w:t>
      </w:r>
      <w:r w:rsidR="006350D8">
        <w:t xml:space="preserve">in this updated certification </w:t>
      </w:r>
      <w:r>
        <w:t xml:space="preserve">will come from the northern half of the field where GCA’s previous classification </w:t>
      </w:r>
      <w:r w:rsidR="00060280">
        <w:t xml:space="preserve">was </w:t>
      </w:r>
      <w:r>
        <w:t xml:space="preserve">of Contingent Resources </w:t>
      </w:r>
      <w:r w:rsidR="00060280">
        <w:t>only</w:t>
      </w:r>
      <w:r>
        <w:t xml:space="preserve"> b</w:t>
      </w:r>
      <w:r w:rsidR="006350D8">
        <w:t>ecause</w:t>
      </w:r>
      <w:r w:rsidR="00F757DF">
        <w:t xml:space="preserve"> </w:t>
      </w:r>
      <w:r w:rsidR="006350D8">
        <w:t>they regarded well spacing</w:t>
      </w:r>
      <w:r w:rsidR="00F757DF">
        <w:t xml:space="preserve"> in the north to be</w:t>
      </w:r>
      <w:r w:rsidR="006350D8">
        <w:t xml:space="preserve"> </w:t>
      </w:r>
      <w:r w:rsidR="00F757DF">
        <w:t>too sparse to provide regular steam patterns and sufficient geological certainty</w:t>
      </w:r>
      <w:r w:rsidR="006D0F87">
        <w:t>, and</w:t>
      </w:r>
      <w:r>
        <w:t xml:space="preserve"> </w:t>
      </w:r>
      <w:r w:rsidR="00F757DF">
        <w:t xml:space="preserve">NHE did not have a development plan </w:t>
      </w:r>
      <w:r w:rsidR="006D0F87">
        <w:t xml:space="preserve">for the north </w:t>
      </w:r>
      <w:r w:rsidR="00F757DF">
        <w:t>a</w:t>
      </w:r>
      <w:r w:rsidR="006D0F87">
        <w:t>t the time. Since 2008</w:t>
      </w:r>
      <w:r w:rsidR="001D1E99">
        <w:t>, NHE has drilled an additional 32 wells in the north and Greenflame has provided an EOR program for exploitation of the heavy crude across the core productive acreage.</w:t>
      </w:r>
    </w:p>
    <w:p w14:paraId="37D8B506" w14:textId="77777777" w:rsidR="001B0CCC" w:rsidRDefault="001B0CCC" w:rsidP="00044A97">
      <w:pPr>
        <w:spacing w:after="120"/>
        <w:jc w:val="both"/>
      </w:pPr>
    </w:p>
    <w:p w14:paraId="54CF1A1B" w14:textId="556B8053" w:rsidR="00A71C71" w:rsidRDefault="004B1C68" w:rsidP="006951A6">
      <w:pPr>
        <w:jc w:val="both"/>
      </w:pPr>
      <w:r>
        <w:rPr>
          <w:noProof/>
        </w:rPr>
        <w:drawing>
          <wp:inline distT="0" distB="0" distL="0" distR="0" wp14:anchorId="1826D037" wp14:editId="6BE3A9BF">
            <wp:extent cx="4179600" cy="2516400"/>
            <wp:effectExtent l="0" t="0" r="0"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2055"/>
                    <pic:cNvPicPr/>
                  </pic:nvPicPr>
                  <pic:blipFill>
                    <a:blip r:embed="rId11"/>
                    <a:stretch>
                      <a:fillRect/>
                    </a:stretch>
                  </pic:blipFill>
                  <pic:spPr>
                    <a:xfrm>
                      <a:off x="0" y="0"/>
                      <a:ext cx="4179600" cy="2516400"/>
                    </a:xfrm>
                    <a:prstGeom prst="rect">
                      <a:avLst/>
                    </a:prstGeom>
                  </pic:spPr>
                </pic:pic>
              </a:graphicData>
            </a:graphic>
          </wp:inline>
        </w:drawing>
      </w:r>
    </w:p>
    <w:p w14:paraId="6AFA8DF5" w14:textId="7D94D1DA" w:rsidR="00BD526E" w:rsidRDefault="004458F9" w:rsidP="00BD526E">
      <w:pPr>
        <w:jc w:val="both"/>
      </w:pPr>
      <w:r w:rsidRPr="00D023D3">
        <w:lastRenderedPageBreak/>
        <w:t>The principal heavy oil sand</w:t>
      </w:r>
      <w:r>
        <w:t>stone target in Block E is the Miocene-aged Forest Sandstone reservoir</w:t>
      </w:r>
      <w:r w:rsidRPr="00D023D3">
        <w:t xml:space="preserve"> </w:t>
      </w:r>
      <w:r>
        <w:t>that typically varies from 50-250’ in net pay thickness</w:t>
      </w:r>
      <w:r w:rsidR="00BD526E">
        <w:t>,</w:t>
      </w:r>
      <w:r>
        <w:t xml:space="preserve"> averages 34% porosity</w:t>
      </w:r>
      <w:r w:rsidR="00BD526E">
        <w:t xml:space="preserve">, </w:t>
      </w:r>
      <w:r w:rsidR="002F0779">
        <w:t xml:space="preserve">has </w:t>
      </w:r>
      <w:r w:rsidR="00BD526E">
        <w:t>from</w:t>
      </w:r>
      <w:r w:rsidR="00BD526E">
        <w:t xml:space="preserve"> 250-500 millidarcies</w:t>
      </w:r>
      <w:r>
        <w:t xml:space="preserve"> </w:t>
      </w:r>
      <w:r w:rsidR="002F0779">
        <w:t xml:space="preserve">permeability </w:t>
      </w:r>
      <w:r>
        <w:t>and</w:t>
      </w:r>
      <w:r w:rsidR="00DE3972">
        <w:t xml:space="preserve"> </w:t>
      </w:r>
      <w:r w:rsidR="002F0779">
        <w:t>averages 75%</w:t>
      </w:r>
      <w:r w:rsidR="002F0779">
        <w:t xml:space="preserve"> </w:t>
      </w:r>
      <w:r w:rsidR="00DE3972">
        <w:t>oil saturation</w:t>
      </w:r>
      <w:r w:rsidR="002F0779">
        <w:t>.</w:t>
      </w:r>
      <w:r>
        <w:t xml:space="preserve"> The </w:t>
      </w:r>
      <w:r w:rsidR="00DE3972">
        <w:t>reservoir</w:t>
      </w:r>
      <w:r>
        <w:t xml:space="preserve"> sandstone is shallow, in the range of 900 to </w:t>
      </w:r>
      <w:r w:rsidRPr="00DE3972">
        <w:t>1200’</w:t>
      </w:r>
      <w:r w:rsidR="00DE3972" w:rsidRPr="00DE3972">
        <w:t xml:space="preserve"> and</w:t>
      </w:r>
      <w:r w:rsidRPr="00DE3972">
        <w:t xml:space="preserve"> reservoir pressure </w:t>
      </w:r>
      <w:r w:rsidR="00DE3972" w:rsidRPr="00DE3972">
        <w:t>is</w:t>
      </w:r>
      <w:r w:rsidR="00BD526E" w:rsidRPr="00DE3972">
        <w:t xml:space="preserve"> 500 psi. </w:t>
      </w:r>
      <w:r w:rsidR="00BD526E" w:rsidRPr="00DE3972">
        <w:t>The</w:t>
      </w:r>
      <w:r w:rsidR="00BD526E">
        <w:t xml:space="preserve"> </w:t>
      </w:r>
      <w:r w:rsidR="00DE3972">
        <w:t>crude oil is</w:t>
      </w:r>
      <w:r w:rsidR="00BD526E">
        <w:t xml:space="preserve"> sweet containing &lt;0.5% sulfur, heavy with gravity ranging </w:t>
      </w:r>
      <w:r w:rsidR="00BD526E" w:rsidRPr="00880189">
        <w:t>from 10-19</w:t>
      </w:r>
      <w:r w:rsidR="00BD526E" w:rsidRPr="00880189">
        <w:rPr>
          <w:vertAlign w:val="superscript"/>
        </w:rPr>
        <w:t>0</w:t>
      </w:r>
      <w:r w:rsidR="00BD526E" w:rsidRPr="00880189">
        <w:t xml:space="preserve"> API and viscous</w:t>
      </w:r>
      <w:r w:rsidR="00BD526E">
        <w:t xml:space="preserve"> at between 4,200-5000 centipoise (cP) at reservoir temperature of 99</w:t>
      </w:r>
      <w:r w:rsidR="00BD526E" w:rsidRPr="00AD740F">
        <w:rPr>
          <w:vertAlign w:val="superscript"/>
        </w:rPr>
        <w:t>0</w:t>
      </w:r>
      <w:r w:rsidR="00BD526E">
        <w:t>F</w:t>
      </w:r>
      <w:r w:rsidR="00332D09">
        <w:t>.</w:t>
      </w:r>
    </w:p>
    <w:p w14:paraId="568646A8" w14:textId="2924E6D8" w:rsidR="004458F9" w:rsidRDefault="004458F9" w:rsidP="004458F9">
      <w:pPr>
        <w:spacing w:after="120"/>
        <w:jc w:val="both"/>
      </w:pPr>
    </w:p>
    <w:p w14:paraId="4076C59C" w14:textId="78335C26" w:rsidR="00FC6658" w:rsidRDefault="00215BD4" w:rsidP="00FC6658">
      <w:pPr>
        <w:tabs>
          <w:tab w:val="left" w:pos="2405"/>
        </w:tabs>
        <w:spacing w:after="160" w:line="256" w:lineRule="auto"/>
        <w:jc w:val="both"/>
      </w:pPr>
      <w:r>
        <w:t>N</w:t>
      </w:r>
      <w:r w:rsidR="004F77E8">
        <w:t>HE</w:t>
      </w:r>
      <w:r>
        <w:t xml:space="preserve"> and Greenflame have invested on the order of $20MM in new well drilling, well workovers, pump installations and improved reservoir management activities in Block E </w:t>
      </w:r>
      <w:r w:rsidR="005F6FB8">
        <w:t>and</w:t>
      </w:r>
      <w:r w:rsidR="004F77E8">
        <w:t xml:space="preserve"> </w:t>
      </w:r>
      <w:r w:rsidR="004F77E8">
        <w:t xml:space="preserve">the project is fully permitted. Infrastructure of power, roads, water and worker accommodations are all in place. </w:t>
      </w:r>
      <w:r w:rsidR="004F77E8">
        <w:t>T</w:t>
      </w:r>
      <w:r w:rsidR="004F77E8">
        <w:t>he Block E concession</w:t>
      </w:r>
      <w:r w:rsidR="004F77E8">
        <w:t xml:space="preserve"> is directly connected</w:t>
      </w:r>
      <w:r w:rsidR="004F77E8">
        <w:t xml:space="preserve"> </w:t>
      </w:r>
      <w:r w:rsidR="004F77E8">
        <w:t xml:space="preserve">by a </w:t>
      </w:r>
      <w:r w:rsidR="00FC6658">
        <w:t>15-mile</w:t>
      </w:r>
      <w:r w:rsidR="004F77E8">
        <w:t xml:space="preserve"> pipeline </w:t>
      </w:r>
      <w:r w:rsidR="004F77E8">
        <w:t xml:space="preserve">to the local Petrotrin </w:t>
      </w:r>
      <w:r w:rsidR="00FC6658">
        <w:t>refinery,</w:t>
      </w:r>
      <w:r w:rsidR="004F77E8">
        <w:t xml:space="preserve"> and the refinery is currently working at only 67% capacity. The concession is also 5 miles from the Atlantic LNG Plant with 7 MMSCF/day of pure CO</w:t>
      </w:r>
      <w:r w:rsidR="004F77E8" w:rsidRPr="00EA6197">
        <w:rPr>
          <w:vertAlign w:val="subscript"/>
        </w:rPr>
        <w:t>2</w:t>
      </w:r>
      <w:r w:rsidR="004F77E8">
        <w:t xml:space="preserve"> available for EOR and sequestration</w:t>
      </w:r>
      <w:r w:rsidR="00FC6658">
        <w:t xml:space="preserve"> and </w:t>
      </w:r>
      <w:r w:rsidR="00FC6658">
        <w:t>Greenflame has signed an MOU for 350 MT/day of pure CO</w:t>
      </w:r>
      <w:r w:rsidR="00FC6658" w:rsidRPr="00F331A0">
        <w:rPr>
          <w:vertAlign w:val="subscript"/>
        </w:rPr>
        <w:t>2</w:t>
      </w:r>
      <w:r w:rsidR="00FC6658">
        <w:t xml:space="preserve"> to be used in the Parrylands area for carbon sequestration</w:t>
      </w:r>
      <w:r w:rsidR="00FC6658">
        <w:t>.</w:t>
      </w:r>
      <w:r w:rsidR="00FC6658">
        <w:t xml:space="preserve"> This sequestered Carbon can be monetized in one of the voluntary carbon markets such as the Gold Standard</w:t>
      </w:r>
      <w:r w:rsidR="00FC6658">
        <w:t xml:space="preserve"> that currently fetches on the order of </w:t>
      </w:r>
      <w:r w:rsidR="00FC6658">
        <w:t>$25/MT</w:t>
      </w:r>
      <w:r w:rsidR="00FC6658">
        <w:t>.</w:t>
      </w:r>
    </w:p>
    <w:p w14:paraId="01BDF86E" w14:textId="77777777" w:rsidR="00215BD4" w:rsidRDefault="00215BD4" w:rsidP="00215BD4">
      <w:pPr>
        <w:jc w:val="both"/>
      </w:pPr>
    </w:p>
    <w:p w14:paraId="7D6F11C5" w14:textId="20B9C2F4" w:rsidR="004F77E8" w:rsidRDefault="00D23EE2" w:rsidP="004F77E8">
      <w:pPr>
        <w:tabs>
          <w:tab w:val="left" w:pos="2405"/>
        </w:tabs>
        <w:spacing w:after="160" w:line="256" w:lineRule="auto"/>
        <w:jc w:val="both"/>
      </w:pPr>
      <w:r>
        <w:t>Block E of Parrylands</w:t>
      </w:r>
      <w:r>
        <w:t xml:space="preserve"> field historically has cumulative production on the order of 680,000 barrels on cold production, less than 1% of the oil in place, and currently </w:t>
      </w:r>
      <w:r w:rsidRPr="00F444FE">
        <w:t xml:space="preserve">produces approximately 160 bopd on cold production from 30 wells. </w:t>
      </w:r>
      <w:r w:rsidR="00A07267">
        <w:t xml:space="preserve">Deployment of Greenflame’s advanced EOR program, however, is a game-changer. </w:t>
      </w:r>
      <w:r w:rsidR="00A07267">
        <w:t>Analog production from Petrotrin/Texaco</w:t>
      </w:r>
      <w:r w:rsidR="00A07267">
        <w:t>’s</w:t>
      </w:r>
      <w:r w:rsidR="00A07267">
        <w:t xml:space="preserve"> </w:t>
      </w:r>
      <w:r w:rsidR="00D22442">
        <w:t xml:space="preserve">30-acre </w:t>
      </w:r>
      <w:r w:rsidR="00A07267">
        <w:t xml:space="preserve">steam injection </w:t>
      </w:r>
      <w:r w:rsidR="00A07267">
        <w:t>pilot</w:t>
      </w:r>
      <w:r w:rsidR="00A07267">
        <w:t xml:space="preserve"> recovered ~50% of the</w:t>
      </w:r>
      <w:r w:rsidR="00A07267">
        <w:t xml:space="preserve"> 6.1 MMBO</w:t>
      </w:r>
      <w:r w:rsidR="00A07267">
        <w:t xml:space="preserve"> </w:t>
      </w:r>
      <w:r w:rsidR="00A07267">
        <w:t xml:space="preserve">of OOIP and modeling of </w:t>
      </w:r>
      <w:r w:rsidR="00A07267">
        <w:t>Greenflame’s advanced technologies</w:t>
      </w:r>
      <w:r w:rsidR="00B70DC9">
        <w:t xml:space="preserve"> that</w:t>
      </w:r>
      <w:r w:rsidR="00A07267">
        <w:t xml:space="preserve"> inject all emissions into the reservoir effectively sequestering the carbon and simultaneously increasing oil production</w:t>
      </w:r>
      <w:r w:rsidR="00A07267">
        <w:t xml:space="preserve"> </w:t>
      </w:r>
      <w:r w:rsidR="00A07267">
        <w:t>are projected to recover above 80% of the oil in place.</w:t>
      </w:r>
      <w:r w:rsidR="00B70DC9">
        <w:t xml:space="preserve"> </w:t>
      </w:r>
      <w:r w:rsidR="004F77E8">
        <w:t>The EOR opportunity has potential for a low cost, high netback and potentially carbon neutral production.</w:t>
      </w:r>
    </w:p>
    <w:p w14:paraId="54A2A0A2" w14:textId="77777777" w:rsidR="00DD647A" w:rsidRDefault="00DD647A" w:rsidP="00215BD4">
      <w:pPr>
        <w:jc w:val="both"/>
      </w:pPr>
    </w:p>
    <w:p w14:paraId="30D8B972" w14:textId="64E032B7" w:rsidR="00C420C7" w:rsidRDefault="00C420C7" w:rsidP="00C420C7">
      <w:pPr>
        <w:spacing w:after="100"/>
        <w:jc w:val="both"/>
      </w:pPr>
      <w:r>
        <w:br w:type="page"/>
      </w:r>
    </w:p>
    <w:sdt>
      <w:sdtPr>
        <w:rPr>
          <w:rFonts w:asciiTheme="minorHAnsi" w:eastAsiaTheme="minorHAnsi" w:hAnsiTheme="minorHAnsi" w:cstheme="minorBidi"/>
          <w:color w:val="auto"/>
          <w:sz w:val="22"/>
          <w:szCs w:val="22"/>
          <w:lang w:val="en-AU"/>
        </w:rPr>
        <w:id w:val="-1511601984"/>
        <w:docPartObj>
          <w:docPartGallery w:val="Table of Contents"/>
          <w:docPartUnique/>
        </w:docPartObj>
      </w:sdtPr>
      <w:sdtEndPr>
        <w:rPr>
          <w:b/>
          <w:bCs/>
          <w:noProof/>
        </w:rPr>
      </w:sdtEndPr>
      <w:sdtContent>
        <w:p w14:paraId="0A70D722" w14:textId="0C63279E" w:rsidR="00D61452" w:rsidRDefault="00D61452">
          <w:pPr>
            <w:pStyle w:val="TOCHeading"/>
          </w:pPr>
          <w:r>
            <w:t>Table of Contents</w:t>
          </w:r>
        </w:p>
        <w:p w14:paraId="05146D25" w14:textId="310B7740" w:rsidR="006C3207" w:rsidRDefault="00D61452">
          <w:pPr>
            <w:pStyle w:val="TOC1"/>
            <w:tabs>
              <w:tab w:val="right" w:leader="dot" w:pos="9016"/>
            </w:tabs>
            <w:rPr>
              <w:rFonts w:eastAsiaTheme="minorEastAsia"/>
              <w:noProof/>
              <w:lang w:eastAsia="en-AU"/>
            </w:rPr>
          </w:pPr>
          <w:r>
            <w:fldChar w:fldCharType="begin"/>
          </w:r>
          <w:r>
            <w:instrText xml:space="preserve"> TOC \o "1-3" \h \z \u </w:instrText>
          </w:r>
          <w:r>
            <w:fldChar w:fldCharType="separate"/>
          </w:r>
          <w:hyperlink w:anchor="_Toc109039033" w:history="1">
            <w:r w:rsidR="006C3207" w:rsidRPr="004B6C6D">
              <w:rPr>
                <w:rStyle w:val="Hyperlink"/>
                <w:noProof/>
              </w:rPr>
              <w:t>Resource and Reserves Evaluation of the Parrylands Heavy Oil field, Block E, Trinidad</w:t>
            </w:r>
            <w:r w:rsidR="006C3207">
              <w:rPr>
                <w:noProof/>
                <w:webHidden/>
              </w:rPr>
              <w:tab/>
            </w:r>
            <w:r w:rsidR="006C3207">
              <w:rPr>
                <w:noProof/>
                <w:webHidden/>
              </w:rPr>
              <w:fldChar w:fldCharType="begin"/>
            </w:r>
            <w:r w:rsidR="006C3207">
              <w:rPr>
                <w:noProof/>
                <w:webHidden/>
              </w:rPr>
              <w:instrText xml:space="preserve"> PAGEREF _Toc109039033 \h </w:instrText>
            </w:r>
            <w:r w:rsidR="006C3207">
              <w:rPr>
                <w:noProof/>
                <w:webHidden/>
              </w:rPr>
            </w:r>
            <w:r w:rsidR="006C3207">
              <w:rPr>
                <w:noProof/>
                <w:webHidden/>
              </w:rPr>
              <w:fldChar w:fldCharType="separate"/>
            </w:r>
            <w:r w:rsidR="006C3207">
              <w:rPr>
                <w:noProof/>
                <w:webHidden/>
              </w:rPr>
              <w:t>2</w:t>
            </w:r>
            <w:r w:rsidR="006C3207">
              <w:rPr>
                <w:noProof/>
                <w:webHidden/>
              </w:rPr>
              <w:fldChar w:fldCharType="end"/>
            </w:r>
          </w:hyperlink>
        </w:p>
        <w:p w14:paraId="7BABE088" w14:textId="659901C4" w:rsidR="006C3207" w:rsidRDefault="006C3207">
          <w:pPr>
            <w:pStyle w:val="TOC1"/>
            <w:tabs>
              <w:tab w:val="right" w:leader="dot" w:pos="9016"/>
            </w:tabs>
            <w:rPr>
              <w:rFonts w:eastAsiaTheme="minorEastAsia"/>
              <w:noProof/>
              <w:lang w:eastAsia="en-AU"/>
            </w:rPr>
          </w:pPr>
          <w:hyperlink w:anchor="_Toc109039034" w:history="1">
            <w:r w:rsidRPr="004B6C6D">
              <w:rPr>
                <w:rStyle w:val="Hyperlink"/>
                <w:noProof/>
              </w:rPr>
              <w:t>Executive Summary</w:t>
            </w:r>
            <w:r>
              <w:rPr>
                <w:noProof/>
                <w:webHidden/>
              </w:rPr>
              <w:tab/>
            </w:r>
            <w:r>
              <w:rPr>
                <w:noProof/>
                <w:webHidden/>
              </w:rPr>
              <w:fldChar w:fldCharType="begin"/>
            </w:r>
            <w:r>
              <w:rPr>
                <w:noProof/>
                <w:webHidden/>
              </w:rPr>
              <w:instrText xml:space="preserve"> PAGEREF _Toc109039034 \h </w:instrText>
            </w:r>
            <w:r>
              <w:rPr>
                <w:noProof/>
                <w:webHidden/>
              </w:rPr>
            </w:r>
            <w:r>
              <w:rPr>
                <w:noProof/>
                <w:webHidden/>
              </w:rPr>
              <w:fldChar w:fldCharType="separate"/>
            </w:r>
            <w:r>
              <w:rPr>
                <w:noProof/>
                <w:webHidden/>
              </w:rPr>
              <w:t>2</w:t>
            </w:r>
            <w:r>
              <w:rPr>
                <w:noProof/>
                <w:webHidden/>
              </w:rPr>
              <w:fldChar w:fldCharType="end"/>
            </w:r>
          </w:hyperlink>
        </w:p>
        <w:p w14:paraId="0BD1B52D" w14:textId="31C99527" w:rsidR="006C3207" w:rsidRDefault="006C3207">
          <w:pPr>
            <w:pStyle w:val="TOC1"/>
            <w:tabs>
              <w:tab w:val="right" w:leader="dot" w:pos="9016"/>
            </w:tabs>
            <w:rPr>
              <w:rFonts w:eastAsiaTheme="minorEastAsia"/>
              <w:noProof/>
              <w:lang w:eastAsia="en-AU"/>
            </w:rPr>
          </w:pPr>
          <w:hyperlink w:anchor="_Toc109039035" w:history="1">
            <w:r w:rsidRPr="004B6C6D">
              <w:rPr>
                <w:rStyle w:val="Hyperlink"/>
                <w:noProof/>
              </w:rPr>
              <w:t>Introduction</w:t>
            </w:r>
            <w:r>
              <w:rPr>
                <w:noProof/>
                <w:webHidden/>
              </w:rPr>
              <w:tab/>
            </w:r>
            <w:r>
              <w:rPr>
                <w:noProof/>
                <w:webHidden/>
              </w:rPr>
              <w:fldChar w:fldCharType="begin"/>
            </w:r>
            <w:r>
              <w:rPr>
                <w:noProof/>
                <w:webHidden/>
              </w:rPr>
              <w:instrText xml:space="preserve"> PAGEREF _Toc109039035 \h </w:instrText>
            </w:r>
            <w:r>
              <w:rPr>
                <w:noProof/>
                <w:webHidden/>
              </w:rPr>
            </w:r>
            <w:r>
              <w:rPr>
                <w:noProof/>
                <w:webHidden/>
              </w:rPr>
              <w:fldChar w:fldCharType="separate"/>
            </w:r>
            <w:r>
              <w:rPr>
                <w:noProof/>
                <w:webHidden/>
              </w:rPr>
              <w:t>5</w:t>
            </w:r>
            <w:r>
              <w:rPr>
                <w:noProof/>
                <w:webHidden/>
              </w:rPr>
              <w:fldChar w:fldCharType="end"/>
            </w:r>
          </w:hyperlink>
        </w:p>
        <w:p w14:paraId="072024E4" w14:textId="3724C6C9" w:rsidR="006C3207" w:rsidRDefault="006C3207">
          <w:pPr>
            <w:pStyle w:val="TOC1"/>
            <w:tabs>
              <w:tab w:val="right" w:leader="dot" w:pos="9016"/>
            </w:tabs>
            <w:rPr>
              <w:rFonts w:eastAsiaTheme="minorEastAsia"/>
              <w:noProof/>
              <w:lang w:eastAsia="en-AU"/>
            </w:rPr>
          </w:pPr>
          <w:hyperlink w:anchor="_Toc109039036" w:history="1">
            <w:r w:rsidRPr="004B6C6D">
              <w:rPr>
                <w:rStyle w:val="Hyperlink"/>
                <w:noProof/>
              </w:rPr>
              <w:t>Geology of the Parrylands Field, Trinidad Southern Basin</w:t>
            </w:r>
            <w:r>
              <w:rPr>
                <w:noProof/>
                <w:webHidden/>
              </w:rPr>
              <w:tab/>
            </w:r>
            <w:r>
              <w:rPr>
                <w:noProof/>
                <w:webHidden/>
              </w:rPr>
              <w:fldChar w:fldCharType="begin"/>
            </w:r>
            <w:r>
              <w:rPr>
                <w:noProof/>
                <w:webHidden/>
              </w:rPr>
              <w:instrText xml:space="preserve"> PAGEREF _Toc109039036 \h </w:instrText>
            </w:r>
            <w:r>
              <w:rPr>
                <w:noProof/>
                <w:webHidden/>
              </w:rPr>
            </w:r>
            <w:r>
              <w:rPr>
                <w:noProof/>
                <w:webHidden/>
              </w:rPr>
              <w:fldChar w:fldCharType="separate"/>
            </w:r>
            <w:r>
              <w:rPr>
                <w:noProof/>
                <w:webHidden/>
              </w:rPr>
              <w:t>6</w:t>
            </w:r>
            <w:r>
              <w:rPr>
                <w:noProof/>
                <w:webHidden/>
              </w:rPr>
              <w:fldChar w:fldCharType="end"/>
            </w:r>
          </w:hyperlink>
        </w:p>
        <w:p w14:paraId="7733F260" w14:textId="1272647E" w:rsidR="006C3207" w:rsidRDefault="006C3207">
          <w:pPr>
            <w:pStyle w:val="TOC2"/>
            <w:tabs>
              <w:tab w:val="right" w:leader="dot" w:pos="9016"/>
            </w:tabs>
            <w:rPr>
              <w:rFonts w:eastAsiaTheme="minorEastAsia"/>
              <w:noProof/>
              <w:lang w:eastAsia="en-AU"/>
            </w:rPr>
          </w:pPr>
          <w:hyperlink w:anchor="_Toc109039037" w:history="1">
            <w:r w:rsidRPr="004B6C6D">
              <w:rPr>
                <w:rStyle w:val="Hyperlink"/>
                <w:noProof/>
              </w:rPr>
              <w:t>Reservoir Stratigraphy at Parrylands</w:t>
            </w:r>
            <w:r>
              <w:rPr>
                <w:noProof/>
                <w:webHidden/>
              </w:rPr>
              <w:tab/>
            </w:r>
            <w:r>
              <w:rPr>
                <w:noProof/>
                <w:webHidden/>
              </w:rPr>
              <w:fldChar w:fldCharType="begin"/>
            </w:r>
            <w:r>
              <w:rPr>
                <w:noProof/>
                <w:webHidden/>
              </w:rPr>
              <w:instrText xml:space="preserve"> PAGEREF _Toc109039037 \h </w:instrText>
            </w:r>
            <w:r>
              <w:rPr>
                <w:noProof/>
                <w:webHidden/>
              </w:rPr>
            </w:r>
            <w:r>
              <w:rPr>
                <w:noProof/>
                <w:webHidden/>
              </w:rPr>
              <w:fldChar w:fldCharType="separate"/>
            </w:r>
            <w:r>
              <w:rPr>
                <w:noProof/>
                <w:webHidden/>
              </w:rPr>
              <w:t>7</w:t>
            </w:r>
            <w:r>
              <w:rPr>
                <w:noProof/>
                <w:webHidden/>
              </w:rPr>
              <w:fldChar w:fldCharType="end"/>
            </w:r>
          </w:hyperlink>
        </w:p>
        <w:p w14:paraId="1EE64BE1" w14:textId="398DF1DA" w:rsidR="006C3207" w:rsidRDefault="006C3207">
          <w:pPr>
            <w:pStyle w:val="TOC2"/>
            <w:tabs>
              <w:tab w:val="right" w:leader="dot" w:pos="9016"/>
            </w:tabs>
            <w:rPr>
              <w:rFonts w:eastAsiaTheme="minorEastAsia"/>
              <w:noProof/>
              <w:lang w:eastAsia="en-AU"/>
            </w:rPr>
          </w:pPr>
          <w:hyperlink w:anchor="_Toc109039038" w:history="1">
            <w:r w:rsidRPr="004B6C6D">
              <w:rPr>
                <w:rStyle w:val="Hyperlink"/>
                <w:noProof/>
              </w:rPr>
              <w:t>Parrylands Field Block E</w:t>
            </w:r>
            <w:r>
              <w:rPr>
                <w:noProof/>
                <w:webHidden/>
              </w:rPr>
              <w:tab/>
            </w:r>
            <w:r>
              <w:rPr>
                <w:noProof/>
                <w:webHidden/>
              </w:rPr>
              <w:fldChar w:fldCharType="begin"/>
            </w:r>
            <w:r>
              <w:rPr>
                <w:noProof/>
                <w:webHidden/>
              </w:rPr>
              <w:instrText xml:space="preserve"> PAGEREF _Toc109039038 \h </w:instrText>
            </w:r>
            <w:r>
              <w:rPr>
                <w:noProof/>
                <w:webHidden/>
              </w:rPr>
            </w:r>
            <w:r>
              <w:rPr>
                <w:noProof/>
                <w:webHidden/>
              </w:rPr>
              <w:fldChar w:fldCharType="separate"/>
            </w:r>
            <w:r>
              <w:rPr>
                <w:noProof/>
                <w:webHidden/>
              </w:rPr>
              <w:t>8</w:t>
            </w:r>
            <w:r>
              <w:rPr>
                <w:noProof/>
                <w:webHidden/>
              </w:rPr>
              <w:fldChar w:fldCharType="end"/>
            </w:r>
          </w:hyperlink>
        </w:p>
        <w:p w14:paraId="03F9CC16" w14:textId="0A7C0089" w:rsidR="006C3207" w:rsidRDefault="006C3207">
          <w:pPr>
            <w:pStyle w:val="TOC1"/>
            <w:tabs>
              <w:tab w:val="right" w:leader="dot" w:pos="9016"/>
            </w:tabs>
            <w:rPr>
              <w:rFonts w:eastAsiaTheme="minorEastAsia"/>
              <w:noProof/>
              <w:lang w:eastAsia="en-AU"/>
            </w:rPr>
          </w:pPr>
          <w:hyperlink w:anchor="_Toc109039039" w:history="1">
            <w:r w:rsidRPr="004B6C6D">
              <w:rPr>
                <w:rStyle w:val="Hyperlink"/>
                <w:noProof/>
              </w:rPr>
              <w:t>Methodology of Original Oil in Place Calculation</w:t>
            </w:r>
            <w:r>
              <w:rPr>
                <w:noProof/>
                <w:webHidden/>
              </w:rPr>
              <w:tab/>
            </w:r>
            <w:r>
              <w:rPr>
                <w:noProof/>
                <w:webHidden/>
              </w:rPr>
              <w:fldChar w:fldCharType="begin"/>
            </w:r>
            <w:r>
              <w:rPr>
                <w:noProof/>
                <w:webHidden/>
              </w:rPr>
              <w:instrText xml:space="preserve"> PAGEREF _Toc109039039 \h </w:instrText>
            </w:r>
            <w:r>
              <w:rPr>
                <w:noProof/>
                <w:webHidden/>
              </w:rPr>
            </w:r>
            <w:r>
              <w:rPr>
                <w:noProof/>
                <w:webHidden/>
              </w:rPr>
              <w:fldChar w:fldCharType="separate"/>
            </w:r>
            <w:r>
              <w:rPr>
                <w:noProof/>
                <w:webHidden/>
              </w:rPr>
              <w:t>11</w:t>
            </w:r>
            <w:r>
              <w:rPr>
                <w:noProof/>
                <w:webHidden/>
              </w:rPr>
              <w:fldChar w:fldCharType="end"/>
            </w:r>
          </w:hyperlink>
        </w:p>
        <w:p w14:paraId="21171733" w14:textId="2132DA02" w:rsidR="006C3207" w:rsidRDefault="006C3207">
          <w:pPr>
            <w:pStyle w:val="TOC3"/>
            <w:tabs>
              <w:tab w:val="right" w:leader="dot" w:pos="9016"/>
            </w:tabs>
            <w:rPr>
              <w:rFonts w:eastAsiaTheme="minorEastAsia"/>
              <w:noProof/>
              <w:lang w:eastAsia="en-AU"/>
            </w:rPr>
          </w:pPr>
          <w:hyperlink w:anchor="_Toc109039040" w:history="1">
            <w:r w:rsidRPr="004B6C6D">
              <w:rPr>
                <w:rStyle w:val="Hyperlink"/>
                <w:noProof/>
              </w:rPr>
              <w:t>Mapping Net Pay Thickness</w:t>
            </w:r>
            <w:r>
              <w:rPr>
                <w:noProof/>
                <w:webHidden/>
              </w:rPr>
              <w:tab/>
            </w:r>
            <w:r>
              <w:rPr>
                <w:noProof/>
                <w:webHidden/>
              </w:rPr>
              <w:fldChar w:fldCharType="begin"/>
            </w:r>
            <w:r>
              <w:rPr>
                <w:noProof/>
                <w:webHidden/>
              </w:rPr>
              <w:instrText xml:space="preserve"> PAGEREF _Toc109039040 \h </w:instrText>
            </w:r>
            <w:r>
              <w:rPr>
                <w:noProof/>
                <w:webHidden/>
              </w:rPr>
            </w:r>
            <w:r>
              <w:rPr>
                <w:noProof/>
                <w:webHidden/>
              </w:rPr>
              <w:fldChar w:fldCharType="separate"/>
            </w:r>
            <w:r>
              <w:rPr>
                <w:noProof/>
                <w:webHidden/>
              </w:rPr>
              <w:t>11</w:t>
            </w:r>
            <w:r>
              <w:rPr>
                <w:noProof/>
                <w:webHidden/>
              </w:rPr>
              <w:fldChar w:fldCharType="end"/>
            </w:r>
          </w:hyperlink>
        </w:p>
        <w:p w14:paraId="0DE1C3A4" w14:textId="25521F38" w:rsidR="006C3207" w:rsidRDefault="006C3207">
          <w:pPr>
            <w:pStyle w:val="TOC3"/>
            <w:tabs>
              <w:tab w:val="right" w:leader="dot" w:pos="9016"/>
            </w:tabs>
            <w:rPr>
              <w:rFonts w:eastAsiaTheme="minorEastAsia"/>
              <w:noProof/>
              <w:lang w:eastAsia="en-AU"/>
            </w:rPr>
          </w:pPr>
          <w:hyperlink w:anchor="_Toc109039041" w:history="1">
            <w:r w:rsidRPr="004B6C6D">
              <w:rPr>
                <w:rStyle w:val="Hyperlink"/>
                <w:noProof/>
              </w:rPr>
              <w:t>Estimating Porosity and Oil Saturation</w:t>
            </w:r>
            <w:r>
              <w:rPr>
                <w:noProof/>
                <w:webHidden/>
              </w:rPr>
              <w:tab/>
            </w:r>
            <w:r>
              <w:rPr>
                <w:noProof/>
                <w:webHidden/>
              </w:rPr>
              <w:fldChar w:fldCharType="begin"/>
            </w:r>
            <w:r>
              <w:rPr>
                <w:noProof/>
                <w:webHidden/>
              </w:rPr>
              <w:instrText xml:space="preserve"> PAGEREF _Toc109039041 \h </w:instrText>
            </w:r>
            <w:r>
              <w:rPr>
                <w:noProof/>
                <w:webHidden/>
              </w:rPr>
            </w:r>
            <w:r>
              <w:rPr>
                <w:noProof/>
                <w:webHidden/>
              </w:rPr>
              <w:fldChar w:fldCharType="separate"/>
            </w:r>
            <w:r>
              <w:rPr>
                <w:noProof/>
                <w:webHidden/>
              </w:rPr>
              <w:t>16</w:t>
            </w:r>
            <w:r>
              <w:rPr>
                <w:noProof/>
                <w:webHidden/>
              </w:rPr>
              <w:fldChar w:fldCharType="end"/>
            </w:r>
          </w:hyperlink>
        </w:p>
        <w:p w14:paraId="291B2254" w14:textId="199D7DDF" w:rsidR="006C3207" w:rsidRDefault="006C3207">
          <w:pPr>
            <w:pStyle w:val="TOC3"/>
            <w:tabs>
              <w:tab w:val="right" w:leader="dot" w:pos="9016"/>
            </w:tabs>
            <w:rPr>
              <w:rFonts w:eastAsiaTheme="minorEastAsia"/>
              <w:noProof/>
              <w:lang w:eastAsia="en-AU"/>
            </w:rPr>
          </w:pPr>
          <w:hyperlink w:anchor="_Toc109039042" w:history="1">
            <w:r w:rsidRPr="004B6C6D">
              <w:rPr>
                <w:rStyle w:val="Hyperlink"/>
                <w:noProof/>
              </w:rPr>
              <w:t>Assigning a Formation Volume Factor</w:t>
            </w:r>
            <w:r>
              <w:rPr>
                <w:noProof/>
                <w:webHidden/>
              </w:rPr>
              <w:tab/>
            </w:r>
            <w:r>
              <w:rPr>
                <w:noProof/>
                <w:webHidden/>
              </w:rPr>
              <w:fldChar w:fldCharType="begin"/>
            </w:r>
            <w:r>
              <w:rPr>
                <w:noProof/>
                <w:webHidden/>
              </w:rPr>
              <w:instrText xml:space="preserve"> PAGEREF _Toc109039042 \h </w:instrText>
            </w:r>
            <w:r>
              <w:rPr>
                <w:noProof/>
                <w:webHidden/>
              </w:rPr>
            </w:r>
            <w:r>
              <w:rPr>
                <w:noProof/>
                <w:webHidden/>
              </w:rPr>
              <w:fldChar w:fldCharType="separate"/>
            </w:r>
            <w:r>
              <w:rPr>
                <w:noProof/>
                <w:webHidden/>
              </w:rPr>
              <w:t>16</w:t>
            </w:r>
            <w:r>
              <w:rPr>
                <w:noProof/>
                <w:webHidden/>
              </w:rPr>
              <w:fldChar w:fldCharType="end"/>
            </w:r>
          </w:hyperlink>
        </w:p>
        <w:p w14:paraId="1100A964" w14:textId="02CD0721" w:rsidR="006C3207" w:rsidRDefault="006C3207">
          <w:pPr>
            <w:pStyle w:val="TOC1"/>
            <w:tabs>
              <w:tab w:val="right" w:leader="dot" w:pos="9016"/>
            </w:tabs>
            <w:rPr>
              <w:rFonts w:eastAsiaTheme="minorEastAsia"/>
              <w:noProof/>
              <w:lang w:eastAsia="en-AU"/>
            </w:rPr>
          </w:pPr>
          <w:hyperlink w:anchor="_Toc109039043" w:history="1">
            <w:r w:rsidRPr="004B6C6D">
              <w:rPr>
                <w:rStyle w:val="Hyperlink"/>
                <w:noProof/>
              </w:rPr>
              <w:t>Original Oil in Place Calculation of the Parrylands E Block, Trinidad</w:t>
            </w:r>
            <w:r>
              <w:rPr>
                <w:noProof/>
                <w:webHidden/>
              </w:rPr>
              <w:tab/>
            </w:r>
            <w:r>
              <w:rPr>
                <w:noProof/>
                <w:webHidden/>
              </w:rPr>
              <w:fldChar w:fldCharType="begin"/>
            </w:r>
            <w:r>
              <w:rPr>
                <w:noProof/>
                <w:webHidden/>
              </w:rPr>
              <w:instrText xml:space="preserve"> PAGEREF _Toc109039043 \h </w:instrText>
            </w:r>
            <w:r>
              <w:rPr>
                <w:noProof/>
                <w:webHidden/>
              </w:rPr>
            </w:r>
            <w:r>
              <w:rPr>
                <w:noProof/>
                <w:webHidden/>
              </w:rPr>
              <w:fldChar w:fldCharType="separate"/>
            </w:r>
            <w:r>
              <w:rPr>
                <w:noProof/>
                <w:webHidden/>
              </w:rPr>
              <w:t>17</w:t>
            </w:r>
            <w:r>
              <w:rPr>
                <w:noProof/>
                <w:webHidden/>
              </w:rPr>
              <w:fldChar w:fldCharType="end"/>
            </w:r>
          </w:hyperlink>
        </w:p>
        <w:p w14:paraId="616F0FA2" w14:textId="10661F7E" w:rsidR="006C3207" w:rsidRDefault="006C3207">
          <w:pPr>
            <w:pStyle w:val="TOC1"/>
            <w:tabs>
              <w:tab w:val="right" w:leader="dot" w:pos="9016"/>
            </w:tabs>
            <w:rPr>
              <w:rFonts w:eastAsiaTheme="minorEastAsia"/>
              <w:noProof/>
              <w:lang w:eastAsia="en-AU"/>
            </w:rPr>
          </w:pPr>
          <w:hyperlink w:anchor="_Toc109039044" w:history="1">
            <w:r w:rsidRPr="004B6C6D">
              <w:rPr>
                <w:rStyle w:val="Hyperlink"/>
                <w:noProof/>
              </w:rPr>
              <w:t>Production History</w:t>
            </w:r>
            <w:r>
              <w:rPr>
                <w:noProof/>
                <w:webHidden/>
              </w:rPr>
              <w:tab/>
            </w:r>
            <w:r>
              <w:rPr>
                <w:noProof/>
                <w:webHidden/>
              </w:rPr>
              <w:fldChar w:fldCharType="begin"/>
            </w:r>
            <w:r>
              <w:rPr>
                <w:noProof/>
                <w:webHidden/>
              </w:rPr>
              <w:instrText xml:space="preserve"> PAGEREF _Toc109039044 \h </w:instrText>
            </w:r>
            <w:r>
              <w:rPr>
                <w:noProof/>
                <w:webHidden/>
              </w:rPr>
            </w:r>
            <w:r>
              <w:rPr>
                <w:noProof/>
                <w:webHidden/>
              </w:rPr>
              <w:fldChar w:fldCharType="separate"/>
            </w:r>
            <w:r>
              <w:rPr>
                <w:noProof/>
                <w:webHidden/>
              </w:rPr>
              <w:t>19</w:t>
            </w:r>
            <w:r>
              <w:rPr>
                <w:noProof/>
                <w:webHidden/>
              </w:rPr>
              <w:fldChar w:fldCharType="end"/>
            </w:r>
          </w:hyperlink>
        </w:p>
        <w:p w14:paraId="7CB79D6E" w14:textId="634600E5" w:rsidR="006C3207" w:rsidRDefault="006C3207">
          <w:pPr>
            <w:pStyle w:val="TOC1"/>
            <w:tabs>
              <w:tab w:val="right" w:leader="dot" w:pos="9016"/>
            </w:tabs>
            <w:rPr>
              <w:rFonts w:eastAsiaTheme="minorEastAsia"/>
              <w:noProof/>
              <w:lang w:eastAsia="en-AU"/>
            </w:rPr>
          </w:pPr>
          <w:hyperlink w:anchor="_Toc109039045" w:history="1">
            <w:r w:rsidRPr="004B6C6D">
              <w:rPr>
                <w:rStyle w:val="Hyperlink"/>
                <w:noProof/>
              </w:rPr>
              <w:t>Analog Production in Neighboring Petrotrin/Texaco Steamflood Pilot</w:t>
            </w:r>
            <w:r>
              <w:rPr>
                <w:noProof/>
                <w:webHidden/>
              </w:rPr>
              <w:tab/>
            </w:r>
            <w:r>
              <w:rPr>
                <w:noProof/>
                <w:webHidden/>
              </w:rPr>
              <w:fldChar w:fldCharType="begin"/>
            </w:r>
            <w:r>
              <w:rPr>
                <w:noProof/>
                <w:webHidden/>
              </w:rPr>
              <w:instrText xml:space="preserve"> PAGEREF _Toc109039045 \h </w:instrText>
            </w:r>
            <w:r>
              <w:rPr>
                <w:noProof/>
                <w:webHidden/>
              </w:rPr>
            </w:r>
            <w:r>
              <w:rPr>
                <w:noProof/>
                <w:webHidden/>
              </w:rPr>
              <w:fldChar w:fldCharType="separate"/>
            </w:r>
            <w:r>
              <w:rPr>
                <w:noProof/>
                <w:webHidden/>
              </w:rPr>
              <w:t>20</w:t>
            </w:r>
            <w:r>
              <w:rPr>
                <w:noProof/>
                <w:webHidden/>
              </w:rPr>
              <w:fldChar w:fldCharType="end"/>
            </w:r>
          </w:hyperlink>
        </w:p>
        <w:p w14:paraId="2B1F6E29" w14:textId="3B3567BD" w:rsidR="006C3207" w:rsidRDefault="006C3207">
          <w:pPr>
            <w:pStyle w:val="TOC1"/>
            <w:tabs>
              <w:tab w:val="right" w:leader="dot" w:pos="9016"/>
            </w:tabs>
            <w:rPr>
              <w:rFonts w:eastAsiaTheme="minorEastAsia"/>
              <w:noProof/>
              <w:lang w:eastAsia="en-AU"/>
            </w:rPr>
          </w:pPr>
          <w:hyperlink w:anchor="_Toc109039046" w:history="1">
            <w:r w:rsidRPr="004B6C6D">
              <w:rPr>
                <w:rStyle w:val="Hyperlink"/>
                <w:noProof/>
              </w:rPr>
              <w:t>Synopsis of the Gaffney, Cline &amp; Associates 2008 Reserves Certification at Block E Parrylands Field</w:t>
            </w:r>
            <w:r>
              <w:rPr>
                <w:noProof/>
                <w:webHidden/>
              </w:rPr>
              <w:tab/>
            </w:r>
            <w:r>
              <w:rPr>
                <w:noProof/>
                <w:webHidden/>
              </w:rPr>
              <w:fldChar w:fldCharType="begin"/>
            </w:r>
            <w:r>
              <w:rPr>
                <w:noProof/>
                <w:webHidden/>
              </w:rPr>
              <w:instrText xml:space="preserve"> PAGEREF _Toc109039046 \h </w:instrText>
            </w:r>
            <w:r>
              <w:rPr>
                <w:noProof/>
                <w:webHidden/>
              </w:rPr>
            </w:r>
            <w:r>
              <w:rPr>
                <w:noProof/>
                <w:webHidden/>
              </w:rPr>
              <w:fldChar w:fldCharType="separate"/>
            </w:r>
            <w:r>
              <w:rPr>
                <w:noProof/>
                <w:webHidden/>
              </w:rPr>
              <w:t>21</w:t>
            </w:r>
            <w:r>
              <w:rPr>
                <w:noProof/>
                <w:webHidden/>
              </w:rPr>
              <w:fldChar w:fldCharType="end"/>
            </w:r>
          </w:hyperlink>
        </w:p>
        <w:p w14:paraId="6FD1F5A1" w14:textId="6AE43529" w:rsidR="006C3207" w:rsidRDefault="006C3207">
          <w:pPr>
            <w:pStyle w:val="TOC2"/>
            <w:tabs>
              <w:tab w:val="right" w:leader="dot" w:pos="9016"/>
            </w:tabs>
            <w:rPr>
              <w:rFonts w:eastAsiaTheme="minorEastAsia"/>
              <w:noProof/>
              <w:lang w:eastAsia="en-AU"/>
            </w:rPr>
          </w:pPr>
          <w:hyperlink w:anchor="_Toc109039047" w:history="1">
            <w:r w:rsidRPr="004B6C6D">
              <w:rPr>
                <w:rStyle w:val="Hyperlink"/>
                <w:noProof/>
              </w:rPr>
              <w:t>GCA’s Reserve and Resource evaluation in Block E at Parrylands field</w:t>
            </w:r>
            <w:r>
              <w:rPr>
                <w:noProof/>
                <w:webHidden/>
              </w:rPr>
              <w:tab/>
            </w:r>
            <w:r>
              <w:rPr>
                <w:noProof/>
                <w:webHidden/>
              </w:rPr>
              <w:fldChar w:fldCharType="begin"/>
            </w:r>
            <w:r>
              <w:rPr>
                <w:noProof/>
                <w:webHidden/>
              </w:rPr>
              <w:instrText xml:space="preserve"> PAGEREF _Toc109039047 \h </w:instrText>
            </w:r>
            <w:r>
              <w:rPr>
                <w:noProof/>
                <w:webHidden/>
              </w:rPr>
            </w:r>
            <w:r>
              <w:rPr>
                <w:noProof/>
                <w:webHidden/>
              </w:rPr>
              <w:fldChar w:fldCharType="separate"/>
            </w:r>
            <w:r>
              <w:rPr>
                <w:noProof/>
                <w:webHidden/>
              </w:rPr>
              <w:t>24</w:t>
            </w:r>
            <w:r>
              <w:rPr>
                <w:noProof/>
                <w:webHidden/>
              </w:rPr>
              <w:fldChar w:fldCharType="end"/>
            </w:r>
          </w:hyperlink>
        </w:p>
        <w:p w14:paraId="64C9206A" w14:textId="1A4C2F38" w:rsidR="006C3207" w:rsidRDefault="006C3207">
          <w:pPr>
            <w:pStyle w:val="TOC3"/>
            <w:tabs>
              <w:tab w:val="right" w:leader="dot" w:pos="9016"/>
            </w:tabs>
            <w:rPr>
              <w:rFonts w:eastAsiaTheme="minorEastAsia"/>
              <w:noProof/>
              <w:lang w:eastAsia="en-AU"/>
            </w:rPr>
          </w:pPr>
          <w:hyperlink w:anchor="_Toc109039048" w:history="1">
            <w:r w:rsidRPr="004B6C6D">
              <w:rPr>
                <w:rStyle w:val="Hyperlink"/>
                <w:noProof/>
              </w:rPr>
              <w:t>GCA’s economic assumptions</w:t>
            </w:r>
            <w:r>
              <w:rPr>
                <w:noProof/>
                <w:webHidden/>
              </w:rPr>
              <w:tab/>
            </w:r>
            <w:r>
              <w:rPr>
                <w:noProof/>
                <w:webHidden/>
              </w:rPr>
              <w:fldChar w:fldCharType="begin"/>
            </w:r>
            <w:r>
              <w:rPr>
                <w:noProof/>
                <w:webHidden/>
              </w:rPr>
              <w:instrText xml:space="preserve"> PAGEREF _Toc109039048 \h </w:instrText>
            </w:r>
            <w:r>
              <w:rPr>
                <w:noProof/>
                <w:webHidden/>
              </w:rPr>
            </w:r>
            <w:r>
              <w:rPr>
                <w:noProof/>
                <w:webHidden/>
              </w:rPr>
              <w:fldChar w:fldCharType="separate"/>
            </w:r>
            <w:r>
              <w:rPr>
                <w:noProof/>
                <w:webHidden/>
              </w:rPr>
              <w:t>25</w:t>
            </w:r>
            <w:r>
              <w:rPr>
                <w:noProof/>
                <w:webHidden/>
              </w:rPr>
              <w:fldChar w:fldCharType="end"/>
            </w:r>
          </w:hyperlink>
        </w:p>
        <w:p w14:paraId="12ED7753" w14:textId="5D17E28C" w:rsidR="006C3207" w:rsidRDefault="006C3207">
          <w:pPr>
            <w:pStyle w:val="TOC2"/>
            <w:tabs>
              <w:tab w:val="right" w:leader="dot" w:pos="9016"/>
            </w:tabs>
            <w:rPr>
              <w:rFonts w:eastAsiaTheme="minorEastAsia"/>
              <w:noProof/>
              <w:lang w:eastAsia="en-AU"/>
            </w:rPr>
          </w:pPr>
          <w:hyperlink w:anchor="_Toc109039049" w:history="1">
            <w:r w:rsidRPr="004B6C6D">
              <w:rPr>
                <w:rStyle w:val="Hyperlink"/>
                <w:noProof/>
              </w:rPr>
              <w:t>Reserve and Resource Classification (GCA, 2008)</w:t>
            </w:r>
            <w:r>
              <w:rPr>
                <w:noProof/>
                <w:webHidden/>
              </w:rPr>
              <w:tab/>
            </w:r>
            <w:r>
              <w:rPr>
                <w:noProof/>
                <w:webHidden/>
              </w:rPr>
              <w:fldChar w:fldCharType="begin"/>
            </w:r>
            <w:r>
              <w:rPr>
                <w:noProof/>
                <w:webHidden/>
              </w:rPr>
              <w:instrText xml:space="preserve"> PAGEREF _Toc109039049 \h </w:instrText>
            </w:r>
            <w:r>
              <w:rPr>
                <w:noProof/>
                <w:webHidden/>
              </w:rPr>
            </w:r>
            <w:r>
              <w:rPr>
                <w:noProof/>
                <w:webHidden/>
              </w:rPr>
              <w:fldChar w:fldCharType="separate"/>
            </w:r>
            <w:r>
              <w:rPr>
                <w:noProof/>
                <w:webHidden/>
              </w:rPr>
              <w:t>28</w:t>
            </w:r>
            <w:r>
              <w:rPr>
                <w:noProof/>
                <w:webHidden/>
              </w:rPr>
              <w:fldChar w:fldCharType="end"/>
            </w:r>
          </w:hyperlink>
        </w:p>
        <w:p w14:paraId="3B076572" w14:textId="77400038" w:rsidR="006C3207" w:rsidRDefault="006C3207">
          <w:pPr>
            <w:pStyle w:val="TOC1"/>
            <w:tabs>
              <w:tab w:val="right" w:leader="dot" w:pos="9016"/>
            </w:tabs>
            <w:rPr>
              <w:rFonts w:eastAsiaTheme="minorEastAsia"/>
              <w:noProof/>
              <w:lang w:eastAsia="en-AU"/>
            </w:rPr>
          </w:pPr>
          <w:hyperlink w:anchor="_Toc109039050" w:history="1">
            <w:r w:rsidRPr="004B6C6D">
              <w:rPr>
                <w:rStyle w:val="Hyperlink"/>
                <w:noProof/>
              </w:rPr>
              <w:t>Next Phase of Proposed Development at Block E, Parrylands Field</w:t>
            </w:r>
            <w:r>
              <w:rPr>
                <w:noProof/>
                <w:webHidden/>
              </w:rPr>
              <w:tab/>
            </w:r>
            <w:r>
              <w:rPr>
                <w:noProof/>
                <w:webHidden/>
              </w:rPr>
              <w:fldChar w:fldCharType="begin"/>
            </w:r>
            <w:r>
              <w:rPr>
                <w:noProof/>
                <w:webHidden/>
              </w:rPr>
              <w:instrText xml:space="preserve"> PAGEREF _Toc109039050 \h </w:instrText>
            </w:r>
            <w:r>
              <w:rPr>
                <w:noProof/>
                <w:webHidden/>
              </w:rPr>
            </w:r>
            <w:r>
              <w:rPr>
                <w:noProof/>
                <w:webHidden/>
              </w:rPr>
              <w:fldChar w:fldCharType="separate"/>
            </w:r>
            <w:r>
              <w:rPr>
                <w:noProof/>
                <w:webHidden/>
              </w:rPr>
              <w:t>33</w:t>
            </w:r>
            <w:r>
              <w:rPr>
                <w:noProof/>
                <w:webHidden/>
              </w:rPr>
              <w:fldChar w:fldCharType="end"/>
            </w:r>
          </w:hyperlink>
        </w:p>
        <w:p w14:paraId="25CBAC65" w14:textId="6DA03AD8" w:rsidR="006C3207" w:rsidRDefault="006C3207">
          <w:pPr>
            <w:pStyle w:val="TOC2"/>
            <w:tabs>
              <w:tab w:val="right" w:leader="dot" w:pos="9016"/>
            </w:tabs>
            <w:rPr>
              <w:rFonts w:eastAsiaTheme="minorEastAsia"/>
              <w:noProof/>
              <w:lang w:eastAsia="en-AU"/>
            </w:rPr>
          </w:pPr>
          <w:hyperlink w:anchor="_Toc109039051" w:history="1">
            <w:r w:rsidRPr="004B6C6D">
              <w:rPr>
                <w:rStyle w:val="Hyperlink"/>
                <w:noProof/>
              </w:rPr>
              <w:t>Advanced EOR Technology</w:t>
            </w:r>
            <w:r>
              <w:rPr>
                <w:noProof/>
                <w:webHidden/>
              </w:rPr>
              <w:tab/>
            </w:r>
            <w:r>
              <w:rPr>
                <w:noProof/>
                <w:webHidden/>
              </w:rPr>
              <w:fldChar w:fldCharType="begin"/>
            </w:r>
            <w:r>
              <w:rPr>
                <w:noProof/>
                <w:webHidden/>
              </w:rPr>
              <w:instrText xml:space="preserve"> PAGEREF _Toc109039051 \h </w:instrText>
            </w:r>
            <w:r>
              <w:rPr>
                <w:noProof/>
                <w:webHidden/>
              </w:rPr>
            </w:r>
            <w:r>
              <w:rPr>
                <w:noProof/>
                <w:webHidden/>
              </w:rPr>
              <w:fldChar w:fldCharType="separate"/>
            </w:r>
            <w:r>
              <w:rPr>
                <w:noProof/>
                <w:webHidden/>
              </w:rPr>
              <w:t>34</w:t>
            </w:r>
            <w:r>
              <w:rPr>
                <w:noProof/>
                <w:webHidden/>
              </w:rPr>
              <w:fldChar w:fldCharType="end"/>
            </w:r>
          </w:hyperlink>
        </w:p>
        <w:p w14:paraId="11A15A56" w14:textId="439D1B74" w:rsidR="006C3207" w:rsidRDefault="006C3207">
          <w:pPr>
            <w:pStyle w:val="TOC2"/>
            <w:tabs>
              <w:tab w:val="right" w:leader="dot" w:pos="9016"/>
            </w:tabs>
            <w:rPr>
              <w:rFonts w:eastAsiaTheme="minorEastAsia"/>
              <w:noProof/>
              <w:lang w:eastAsia="en-AU"/>
            </w:rPr>
          </w:pPr>
          <w:hyperlink w:anchor="_Toc109039052" w:history="1">
            <w:r w:rsidRPr="004B6C6D">
              <w:rPr>
                <w:rStyle w:val="Hyperlink"/>
                <w:noProof/>
              </w:rPr>
              <w:t>Proposed Steam Injection Wells</w:t>
            </w:r>
            <w:r>
              <w:rPr>
                <w:noProof/>
                <w:webHidden/>
              </w:rPr>
              <w:tab/>
            </w:r>
            <w:r>
              <w:rPr>
                <w:noProof/>
                <w:webHidden/>
              </w:rPr>
              <w:fldChar w:fldCharType="begin"/>
            </w:r>
            <w:r>
              <w:rPr>
                <w:noProof/>
                <w:webHidden/>
              </w:rPr>
              <w:instrText xml:space="preserve"> PAGEREF _Toc109039052 \h </w:instrText>
            </w:r>
            <w:r>
              <w:rPr>
                <w:noProof/>
                <w:webHidden/>
              </w:rPr>
            </w:r>
            <w:r>
              <w:rPr>
                <w:noProof/>
                <w:webHidden/>
              </w:rPr>
              <w:fldChar w:fldCharType="separate"/>
            </w:r>
            <w:r>
              <w:rPr>
                <w:noProof/>
                <w:webHidden/>
              </w:rPr>
              <w:t>37</w:t>
            </w:r>
            <w:r>
              <w:rPr>
                <w:noProof/>
                <w:webHidden/>
              </w:rPr>
              <w:fldChar w:fldCharType="end"/>
            </w:r>
          </w:hyperlink>
        </w:p>
        <w:p w14:paraId="76135F32" w14:textId="2FC983EC" w:rsidR="006C3207" w:rsidRDefault="006C3207">
          <w:pPr>
            <w:pStyle w:val="TOC3"/>
            <w:tabs>
              <w:tab w:val="right" w:leader="dot" w:pos="9016"/>
            </w:tabs>
            <w:rPr>
              <w:rFonts w:eastAsiaTheme="minorEastAsia"/>
              <w:noProof/>
              <w:lang w:eastAsia="en-AU"/>
            </w:rPr>
          </w:pPr>
          <w:hyperlink w:anchor="_Toc109039053" w:history="1">
            <w:r w:rsidRPr="004B6C6D">
              <w:rPr>
                <w:rStyle w:val="Hyperlink"/>
                <w:noProof/>
              </w:rPr>
              <w:t>Current Activities: Completed and In Progress</w:t>
            </w:r>
            <w:r>
              <w:rPr>
                <w:noProof/>
                <w:webHidden/>
              </w:rPr>
              <w:tab/>
            </w:r>
            <w:r>
              <w:rPr>
                <w:noProof/>
                <w:webHidden/>
              </w:rPr>
              <w:fldChar w:fldCharType="begin"/>
            </w:r>
            <w:r>
              <w:rPr>
                <w:noProof/>
                <w:webHidden/>
              </w:rPr>
              <w:instrText xml:space="preserve"> PAGEREF _Toc109039053 \h </w:instrText>
            </w:r>
            <w:r>
              <w:rPr>
                <w:noProof/>
                <w:webHidden/>
              </w:rPr>
            </w:r>
            <w:r>
              <w:rPr>
                <w:noProof/>
                <w:webHidden/>
              </w:rPr>
              <w:fldChar w:fldCharType="separate"/>
            </w:r>
            <w:r>
              <w:rPr>
                <w:noProof/>
                <w:webHidden/>
              </w:rPr>
              <w:t>38</w:t>
            </w:r>
            <w:r>
              <w:rPr>
                <w:noProof/>
                <w:webHidden/>
              </w:rPr>
              <w:fldChar w:fldCharType="end"/>
            </w:r>
          </w:hyperlink>
        </w:p>
        <w:p w14:paraId="6037E5B7" w14:textId="1AC2ABC9" w:rsidR="006C3207" w:rsidRDefault="006C3207">
          <w:pPr>
            <w:pStyle w:val="TOC2"/>
            <w:tabs>
              <w:tab w:val="right" w:leader="dot" w:pos="9016"/>
            </w:tabs>
            <w:rPr>
              <w:rFonts w:eastAsiaTheme="minorEastAsia"/>
              <w:noProof/>
              <w:lang w:eastAsia="en-AU"/>
            </w:rPr>
          </w:pPr>
          <w:hyperlink w:anchor="_Toc109039054" w:history="1">
            <w:r w:rsidRPr="004B6C6D">
              <w:rPr>
                <w:rStyle w:val="Hyperlink"/>
                <w:noProof/>
              </w:rPr>
              <w:t>Economic Modeling and Assumptions</w:t>
            </w:r>
            <w:r>
              <w:rPr>
                <w:noProof/>
                <w:webHidden/>
              </w:rPr>
              <w:tab/>
            </w:r>
            <w:r>
              <w:rPr>
                <w:noProof/>
                <w:webHidden/>
              </w:rPr>
              <w:fldChar w:fldCharType="begin"/>
            </w:r>
            <w:r>
              <w:rPr>
                <w:noProof/>
                <w:webHidden/>
              </w:rPr>
              <w:instrText xml:space="preserve"> PAGEREF _Toc109039054 \h </w:instrText>
            </w:r>
            <w:r>
              <w:rPr>
                <w:noProof/>
                <w:webHidden/>
              </w:rPr>
            </w:r>
            <w:r>
              <w:rPr>
                <w:noProof/>
                <w:webHidden/>
              </w:rPr>
              <w:fldChar w:fldCharType="separate"/>
            </w:r>
            <w:r>
              <w:rPr>
                <w:noProof/>
                <w:webHidden/>
              </w:rPr>
              <w:t>39</w:t>
            </w:r>
            <w:r>
              <w:rPr>
                <w:noProof/>
                <w:webHidden/>
              </w:rPr>
              <w:fldChar w:fldCharType="end"/>
            </w:r>
          </w:hyperlink>
        </w:p>
        <w:p w14:paraId="5B7494B1" w14:textId="6C41A4D9" w:rsidR="006C3207" w:rsidRDefault="006C3207">
          <w:pPr>
            <w:pStyle w:val="TOC2"/>
            <w:tabs>
              <w:tab w:val="right" w:leader="dot" w:pos="9016"/>
            </w:tabs>
            <w:rPr>
              <w:rFonts w:eastAsiaTheme="minorEastAsia"/>
              <w:noProof/>
              <w:lang w:eastAsia="en-AU"/>
            </w:rPr>
          </w:pPr>
          <w:hyperlink w:anchor="_Toc109039055" w:history="1">
            <w:r w:rsidRPr="004B6C6D">
              <w:rPr>
                <w:rStyle w:val="Hyperlink"/>
                <w:noProof/>
              </w:rPr>
              <w:t>Doing Business in Trinidad &amp; Tobago</w:t>
            </w:r>
            <w:r>
              <w:rPr>
                <w:noProof/>
                <w:webHidden/>
              </w:rPr>
              <w:tab/>
            </w:r>
            <w:r>
              <w:rPr>
                <w:noProof/>
                <w:webHidden/>
              </w:rPr>
              <w:fldChar w:fldCharType="begin"/>
            </w:r>
            <w:r>
              <w:rPr>
                <w:noProof/>
                <w:webHidden/>
              </w:rPr>
              <w:instrText xml:space="preserve"> PAGEREF _Toc109039055 \h </w:instrText>
            </w:r>
            <w:r>
              <w:rPr>
                <w:noProof/>
                <w:webHidden/>
              </w:rPr>
            </w:r>
            <w:r>
              <w:rPr>
                <w:noProof/>
                <w:webHidden/>
              </w:rPr>
              <w:fldChar w:fldCharType="separate"/>
            </w:r>
            <w:r>
              <w:rPr>
                <w:noProof/>
                <w:webHidden/>
              </w:rPr>
              <w:t>42</w:t>
            </w:r>
            <w:r>
              <w:rPr>
                <w:noProof/>
                <w:webHidden/>
              </w:rPr>
              <w:fldChar w:fldCharType="end"/>
            </w:r>
          </w:hyperlink>
        </w:p>
        <w:p w14:paraId="227923C4" w14:textId="74E260BA" w:rsidR="006C3207" w:rsidRDefault="006C3207">
          <w:pPr>
            <w:pStyle w:val="TOC1"/>
            <w:tabs>
              <w:tab w:val="right" w:leader="dot" w:pos="9016"/>
            </w:tabs>
            <w:rPr>
              <w:rFonts w:eastAsiaTheme="minorEastAsia"/>
              <w:noProof/>
              <w:lang w:eastAsia="en-AU"/>
            </w:rPr>
          </w:pPr>
          <w:hyperlink w:anchor="_Toc109039056" w:history="1">
            <w:r w:rsidRPr="004B6C6D">
              <w:rPr>
                <w:rStyle w:val="Hyperlink"/>
                <w:noProof/>
              </w:rPr>
              <w:t>Conclusions</w:t>
            </w:r>
            <w:r>
              <w:rPr>
                <w:noProof/>
                <w:webHidden/>
              </w:rPr>
              <w:tab/>
            </w:r>
            <w:r>
              <w:rPr>
                <w:noProof/>
                <w:webHidden/>
              </w:rPr>
              <w:fldChar w:fldCharType="begin"/>
            </w:r>
            <w:r>
              <w:rPr>
                <w:noProof/>
                <w:webHidden/>
              </w:rPr>
              <w:instrText xml:space="preserve"> PAGEREF _Toc109039056 \h </w:instrText>
            </w:r>
            <w:r>
              <w:rPr>
                <w:noProof/>
                <w:webHidden/>
              </w:rPr>
            </w:r>
            <w:r>
              <w:rPr>
                <w:noProof/>
                <w:webHidden/>
              </w:rPr>
              <w:fldChar w:fldCharType="separate"/>
            </w:r>
            <w:r>
              <w:rPr>
                <w:noProof/>
                <w:webHidden/>
              </w:rPr>
              <w:t>43</w:t>
            </w:r>
            <w:r>
              <w:rPr>
                <w:noProof/>
                <w:webHidden/>
              </w:rPr>
              <w:fldChar w:fldCharType="end"/>
            </w:r>
          </w:hyperlink>
        </w:p>
        <w:p w14:paraId="1C5DEB66" w14:textId="760A3609" w:rsidR="006C3207" w:rsidRDefault="006C3207">
          <w:pPr>
            <w:pStyle w:val="TOC1"/>
            <w:tabs>
              <w:tab w:val="right" w:leader="dot" w:pos="9016"/>
            </w:tabs>
            <w:rPr>
              <w:rFonts w:eastAsiaTheme="minorEastAsia"/>
              <w:noProof/>
              <w:lang w:eastAsia="en-AU"/>
            </w:rPr>
          </w:pPr>
          <w:hyperlink w:anchor="_Toc109039057" w:history="1">
            <w:r w:rsidRPr="004B6C6D">
              <w:rPr>
                <w:rStyle w:val="Hyperlink"/>
                <w:noProof/>
              </w:rPr>
              <w:t>References</w:t>
            </w:r>
            <w:r>
              <w:rPr>
                <w:noProof/>
                <w:webHidden/>
              </w:rPr>
              <w:tab/>
            </w:r>
            <w:r>
              <w:rPr>
                <w:noProof/>
                <w:webHidden/>
              </w:rPr>
              <w:fldChar w:fldCharType="begin"/>
            </w:r>
            <w:r>
              <w:rPr>
                <w:noProof/>
                <w:webHidden/>
              </w:rPr>
              <w:instrText xml:space="preserve"> PAGEREF _Toc109039057 \h </w:instrText>
            </w:r>
            <w:r>
              <w:rPr>
                <w:noProof/>
                <w:webHidden/>
              </w:rPr>
            </w:r>
            <w:r>
              <w:rPr>
                <w:noProof/>
                <w:webHidden/>
              </w:rPr>
              <w:fldChar w:fldCharType="separate"/>
            </w:r>
            <w:r>
              <w:rPr>
                <w:noProof/>
                <w:webHidden/>
              </w:rPr>
              <w:t>44</w:t>
            </w:r>
            <w:r>
              <w:rPr>
                <w:noProof/>
                <w:webHidden/>
              </w:rPr>
              <w:fldChar w:fldCharType="end"/>
            </w:r>
          </w:hyperlink>
        </w:p>
        <w:p w14:paraId="5A1C6FAF" w14:textId="7060E4B6" w:rsidR="006C3207" w:rsidRDefault="006C3207">
          <w:pPr>
            <w:pStyle w:val="TOC1"/>
            <w:tabs>
              <w:tab w:val="right" w:leader="dot" w:pos="9016"/>
            </w:tabs>
            <w:rPr>
              <w:rFonts w:eastAsiaTheme="minorEastAsia"/>
              <w:noProof/>
              <w:lang w:eastAsia="en-AU"/>
            </w:rPr>
          </w:pPr>
          <w:hyperlink w:anchor="_Toc109039058" w:history="1">
            <w:r w:rsidRPr="004B6C6D">
              <w:rPr>
                <w:rStyle w:val="Hyperlink"/>
                <w:noProof/>
              </w:rPr>
              <w:t>Appendix 1: Audit Wells</w:t>
            </w:r>
            <w:r>
              <w:rPr>
                <w:noProof/>
                <w:webHidden/>
              </w:rPr>
              <w:tab/>
            </w:r>
            <w:r>
              <w:rPr>
                <w:noProof/>
                <w:webHidden/>
              </w:rPr>
              <w:fldChar w:fldCharType="begin"/>
            </w:r>
            <w:r>
              <w:rPr>
                <w:noProof/>
                <w:webHidden/>
              </w:rPr>
              <w:instrText xml:space="preserve"> PAGEREF _Toc109039058 \h </w:instrText>
            </w:r>
            <w:r>
              <w:rPr>
                <w:noProof/>
                <w:webHidden/>
              </w:rPr>
            </w:r>
            <w:r>
              <w:rPr>
                <w:noProof/>
                <w:webHidden/>
              </w:rPr>
              <w:fldChar w:fldCharType="separate"/>
            </w:r>
            <w:r>
              <w:rPr>
                <w:noProof/>
                <w:webHidden/>
              </w:rPr>
              <w:t>45</w:t>
            </w:r>
            <w:r>
              <w:rPr>
                <w:noProof/>
                <w:webHidden/>
              </w:rPr>
              <w:fldChar w:fldCharType="end"/>
            </w:r>
          </w:hyperlink>
        </w:p>
        <w:p w14:paraId="0FF57F4B" w14:textId="55E26EC7" w:rsidR="006C3207" w:rsidRDefault="006C3207">
          <w:pPr>
            <w:pStyle w:val="TOC1"/>
            <w:tabs>
              <w:tab w:val="right" w:leader="dot" w:pos="9016"/>
            </w:tabs>
            <w:rPr>
              <w:rFonts w:eastAsiaTheme="minorEastAsia"/>
              <w:noProof/>
              <w:lang w:eastAsia="en-AU"/>
            </w:rPr>
          </w:pPr>
          <w:hyperlink w:anchor="_Toc109039059" w:history="1">
            <w:r w:rsidRPr="004B6C6D">
              <w:rPr>
                <w:rStyle w:val="Hyperlink"/>
                <w:noProof/>
              </w:rPr>
              <w:t>Appendix 2: Calculation of OOIP based on Audited Net Pay Map</w:t>
            </w:r>
            <w:r>
              <w:rPr>
                <w:noProof/>
                <w:webHidden/>
              </w:rPr>
              <w:tab/>
            </w:r>
            <w:r>
              <w:rPr>
                <w:noProof/>
                <w:webHidden/>
              </w:rPr>
              <w:fldChar w:fldCharType="begin"/>
            </w:r>
            <w:r>
              <w:rPr>
                <w:noProof/>
                <w:webHidden/>
              </w:rPr>
              <w:instrText xml:space="preserve"> PAGEREF _Toc109039059 \h </w:instrText>
            </w:r>
            <w:r>
              <w:rPr>
                <w:noProof/>
                <w:webHidden/>
              </w:rPr>
            </w:r>
            <w:r>
              <w:rPr>
                <w:noProof/>
                <w:webHidden/>
              </w:rPr>
              <w:fldChar w:fldCharType="separate"/>
            </w:r>
            <w:r>
              <w:rPr>
                <w:noProof/>
                <w:webHidden/>
              </w:rPr>
              <w:t>49</w:t>
            </w:r>
            <w:r>
              <w:rPr>
                <w:noProof/>
                <w:webHidden/>
              </w:rPr>
              <w:fldChar w:fldCharType="end"/>
            </w:r>
          </w:hyperlink>
        </w:p>
        <w:p w14:paraId="5821173E" w14:textId="1C04FA0A" w:rsidR="006C3207" w:rsidRDefault="006C3207">
          <w:pPr>
            <w:pStyle w:val="TOC1"/>
            <w:tabs>
              <w:tab w:val="right" w:leader="dot" w:pos="9016"/>
            </w:tabs>
            <w:rPr>
              <w:rFonts w:eastAsiaTheme="minorEastAsia"/>
              <w:noProof/>
              <w:lang w:eastAsia="en-AU"/>
            </w:rPr>
          </w:pPr>
          <w:hyperlink w:anchor="_Toc109039060" w:history="1">
            <w:r w:rsidRPr="004B6C6D">
              <w:rPr>
                <w:rStyle w:val="Hyperlink"/>
                <w:noProof/>
              </w:rPr>
              <w:t>Appendix 3: Greenflame Trinidad &amp; Tobago Investor Presentation</w:t>
            </w:r>
            <w:r>
              <w:rPr>
                <w:noProof/>
                <w:webHidden/>
              </w:rPr>
              <w:tab/>
            </w:r>
            <w:r>
              <w:rPr>
                <w:noProof/>
                <w:webHidden/>
              </w:rPr>
              <w:fldChar w:fldCharType="begin"/>
            </w:r>
            <w:r>
              <w:rPr>
                <w:noProof/>
                <w:webHidden/>
              </w:rPr>
              <w:instrText xml:space="preserve"> PAGEREF _Toc109039060 \h </w:instrText>
            </w:r>
            <w:r>
              <w:rPr>
                <w:noProof/>
                <w:webHidden/>
              </w:rPr>
            </w:r>
            <w:r>
              <w:rPr>
                <w:noProof/>
                <w:webHidden/>
              </w:rPr>
              <w:fldChar w:fldCharType="separate"/>
            </w:r>
            <w:r>
              <w:rPr>
                <w:noProof/>
                <w:webHidden/>
              </w:rPr>
              <w:t>54</w:t>
            </w:r>
            <w:r>
              <w:rPr>
                <w:noProof/>
                <w:webHidden/>
              </w:rPr>
              <w:fldChar w:fldCharType="end"/>
            </w:r>
          </w:hyperlink>
        </w:p>
        <w:p w14:paraId="2D069100" w14:textId="08858BCE" w:rsidR="00862070" w:rsidRPr="00862070" w:rsidRDefault="00D61452" w:rsidP="008B08CA">
          <w:r>
            <w:rPr>
              <w:b/>
              <w:bCs/>
              <w:noProof/>
            </w:rPr>
            <w:fldChar w:fldCharType="end"/>
          </w:r>
        </w:p>
      </w:sdtContent>
    </w:sdt>
    <w:bookmarkStart w:id="2" w:name="_Hlk80851630" w:displacedByCustomXml="prev"/>
    <w:p w14:paraId="6FF5760D" w14:textId="77777777" w:rsidR="00862070" w:rsidRDefault="00862070" w:rsidP="00862070"/>
    <w:p w14:paraId="64A937F7" w14:textId="4A7C06F5" w:rsidR="005B2C94" w:rsidRPr="00AB7332" w:rsidRDefault="005B2C94" w:rsidP="00862070">
      <w:pPr>
        <w:jc w:val="both"/>
        <w:rPr>
          <w:b/>
          <w:bCs/>
          <w:sz w:val="20"/>
          <w:szCs w:val="20"/>
          <w:lang w:val="en-US"/>
        </w:rPr>
      </w:pPr>
    </w:p>
    <w:p w14:paraId="4BE81978" w14:textId="77777777" w:rsidR="003C7906" w:rsidRPr="00862070" w:rsidRDefault="003C7906" w:rsidP="003C7906">
      <w:pPr>
        <w:pStyle w:val="Heading1"/>
        <w:spacing w:after="120"/>
        <w:jc w:val="both"/>
      </w:pPr>
      <w:bookmarkStart w:id="3" w:name="_Toc109039035"/>
      <w:r>
        <w:lastRenderedPageBreak/>
        <w:t>Introduction</w:t>
      </w:r>
      <w:bookmarkEnd w:id="3"/>
    </w:p>
    <w:p w14:paraId="481E55E2" w14:textId="77777777" w:rsidR="005B2C94" w:rsidRDefault="005B2C94" w:rsidP="00862070">
      <w:pPr>
        <w:jc w:val="both"/>
        <w:rPr>
          <w:sz w:val="20"/>
          <w:szCs w:val="20"/>
        </w:rPr>
      </w:pPr>
    </w:p>
    <w:p w14:paraId="4DB64FD0" w14:textId="77801F6B" w:rsidR="00FA5F07" w:rsidRDefault="003C7906" w:rsidP="00862070">
      <w:pPr>
        <w:jc w:val="both"/>
      </w:pPr>
      <w:r w:rsidRPr="003C7906">
        <w:t xml:space="preserve">Greenflame </w:t>
      </w:r>
      <w:r w:rsidR="00E9788E">
        <w:t>Energy Inc</w:t>
      </w:r>
      <w:r w:rsidR="00862070" w:rsidRPr="003C7906">
        <w:t xml:space="preserve"> commissioned a report on the potential oil resources and reserves contained in </w:t>
      </w:r>
      <w:r w:rsidRPr="003C7906">
        <w:t>the Block E concession of the Parrylands field, Trinidad</w:t>
      </w:r>
      <w:r w:rsidR="00862070" w:rsidRPr="003C7906">
        <w:t>. Th</w:t>
      </w:r>
      <w:r w:rsidR="008B08CA">
        <w:t>is</w:t>
      </w:r>
      <w:r w:rsidR="00862070" w:rsidRPr="003C7906">
        <w:t xml:space="preserve"> report provides </w:t>
      </w:r>
      <w:r w:rsidR="00F338AA">
        <w:t xml:space="preserve">1) </w:t>
      </w:r>
      <w:r w:rsidR="00862070" w:rsidRPr="003C7906">
        <w:t>a</w:t>
      </w:r>
      <w:r w:rsidR="008B08CA">
        <w:t xml:space="preserve">n overview of the </w:t>
      </w:r>
      <w:r w:rsidR="00F338AA">
        <w:t>geology, reservoir and hydrocarbon characteristics of the target Forest Sandstone</w:t>
      </w:r>
      <w:r w:rsidR="00CC46E4">
        <w:t xml:space="preserve">, 2) an audit of the net pay mapping and previous original oil in place (OOIP) estimates, 3) a synopsis of the 2008 </w:t>
      </w:r>
      <w:r w:rsidR="00475400">
        <w:t xml:space="preserve">resource and </w:t>
      </w:r>
      <w:r w:rsidR="00CC46E4">
        <w:t>reserves certification by Gaffney, Cline &amp; Associates (GCA), 4) a summary of</w:t>
      </w:r>
      <w:r w:rsidR="00475400">
        <w:t xml:space="preserve"> </w:t>
      </w:r>
      <w:r w:rsidR="00FA5F07">
        <w:t xml:space="preserve">drilling and completion </w:t>
      </w:r>
      <w:r w:rsidR="00475400">
        <w:t xml:space="preserve">operations in the field since GCA’s 2008 certification report, and 5) an outline of the next phase of development utilizing advanced </w:t>
      </w:r>
      <w:r w:rsidR="00A50DE6">
        <w:t>E</w:t>
      </w:r>
      <w:r w:rsidR="00475400">
        <w:t xml:space="preserve">nhanced </w:t>
      </w:r>
      <w:r w:rsidR="00A50DE6">
        <w:t>O</w:t>
      </w:r>
      <w:r w:rsidR="00475400">
        <w:t xml:space="preserve">il </w:t>
      </w:r>
      <w:r w:rsidR="00A50DE6">
        <w:t>R</w:t>
      </w:r>
      <w:r w:rsidR="00475400">
        <w:t>ecovery (EOR) technologies at Block E, Parrylands field.</w:t>
      </w:r>
      <w:r w:rsidR="00FA5F07">
        <w:t xml:space="preserve"> Based on the substantial new drilling and operations since 2008 and the proposed advanced EOR development plan, </w:t>
      </w:r>
      <w:r w:rsidR="00605B73">
        <w:t xml:space="preserve">Greenflame is seeking an updated and upgraded resource and reserves certification from </w:t>
      </w:r>
      <w:r w:rsidR="00605B73" w:rsidRPr="003C7906">
        <w:t>Netherland Sewell and Associates (NSAI)</w:t>
      </w:r>
      <w:r w:rsidR="00FA5F07">
        <w:t>,</w:t>
      </w:r>
      <w:r w:rsidR="00605B73">
        <w:t xml:space="preserve"> </w:t>
      </w:r>
      <w:r w:rsidR="00862070" w:rsidRPr="003C7906">
        <w:t>and</w:t>
      </w:r>
      <w:r w:rsidR="00FA5F07">
        <w:t xml:space="preserve"> t</w:t>
      </w:r>
      <w:r w:rsidR="00605B73">
        <w:t>he objective of th</w:t>
      </w:r>
      <w:r w:rsidR="00FA5F07">
        <w:t>is</w:t>
      </w:r>
      <w:r w:rsidR="00605B73">
        <w:t xml:space="preserve"> report is to provide a reliable basis </w:t>
      </w:r>
      <w:r w:rsidR="00A50DE6">
        <w:t>to support</w:t>
      </w:r>
      <w:r w:rsidR="00FA5F07">
        <w:t xml:space="preserve"> NSAI</w:t>
      </w:r>
      <w:r w:rsidR="00A50DE6">
        <w:t>’s</w:t>
      </w:r>
      <w:r w:rsidR="008C284E">
        <w:t xml:space="preserve"> analysis.</w:t>
      </w:r>
    </w:p>
    <w:p w14:paraId="219E5963" w14:textId="77777777" w:rsidR="008C284E" w:rsidRDefault="008C284E" w:rsidP="003C7906"/>
    <w:p w14:paraId="5F5F4A2C" w14:textId="65C535ED" w:rsidR="00AD740F" w:rsidRDefault="005338E8" w:rsidP="00A074C9">
      <w:pPr>
        <w:jc w:val="both"/>
      </w:pPr>
      <w:r>
        <w:t xml:space="preserve">Block E is a 744-acre concession within the Parrylands Heavy Oil field in the southern basin of Trinidad </w:t>
      </w:r>
      <w:r w:rsidR="0030796C">
        <w:t xml:space="preserve">(figure 1) </w:t>
      </w:r>
      <w:r>
        <w:t>and is operated by New Horizon</w:t>
      </w:r>
      <w:r w:rsidR="00A074C9">
        <w:t xml:space="preserve">s Exploration &amp; Production Trinidad &amp; Tobago Ltd (NHE) with whom Greenflame </w:t>
      </w:r>
      <w:r w:rsidR="00552BC4">
        <w:t>Energy Inc</w:t>
      </w:r>
      <w:r w:rsidR="00A074C9">
        <w:t xml:space="preserve"> has a production sharing agreement. </w:t>
      </w:r>
      <w:r w:rsidR="00CD2ED5">
        <w:t>Parrylands field has 3 major Late</w:t>
      </w:r>
      <w:r w:rsidR="00AB7332">
        <w:t xml:space="preserve"> </w:t>
      </w:r>
      <w:r w:rsidR="00CD2ED5">
        <w:t xml:space="preserve">Tertiary-aged producing horizons: Cruse, Forest and Morne L’enfer, but the principal target in Block E is the heavy oil in the Forest Sandstone reservoir. </w:t>
      </w:r>
      <w:r w:rsidR="00AB7332">
        <w:t xml:space="preserve">The Forest </w:t>
      </w:r>
      <w:r w:rsidR="00E23F48">
        <w:t xml:space="preserve">Sandstone is a high-quality </w:t>
      </w:r>
      <w:r w:rsidR="00AB7332">
        <w:t xml:space="preserve">reservoir </w:t>
      </w:r>
      <w:r w:rsidR="00E23F48">
        <w:t xml:space="preserve">that </w:t>
      </w:r>
      <w:r w:rsidR="00AB7332">
        <w:t xml:space="preserve">is </w:t>
      </w:r>
      <w:r w:rsidR="004B1DC2">
        <w:t xml:space="preserve">up to 250’ in the </w:t>
      </w:r>
      <w:r w:rsidR="00AD740F">
        <w:t xml:space="preserve">centre of </w:t>
      </w:r>
      <w:r w:rsidR="004B1DC2">
        <w:t>Block</w:t>
      </w:r>
      <w:r w:rsidR="00AD740F">
        <w:t xml:space="preserve"> E</w:t>
      </w:r>
      <w:r w:rsidR="00DB52DA">
        <w:t>,</w:t>
      </w:r>
      <w:r w:rsidR="004B1DC2">
        <w:t xml:space="preserve"> porosity rang</w:t>
      </w:r>
      <w:r w:rsidR="00AD740F">
        <w:t>es</w:t>
      </w:r>
      <w:r w:rsidR="004B1DC2">
        <w:t xml:space="preserve"> from 32-36% averaging 34% and permeability</w:t>
      </w:r>
      <w:r w:rsidR="00AD740F">
        <w:t xml:space="preserve"> is</w:t>
      </w:r>
      <w:r w:rsidR="004B1DC2">
        <w:t xml:space="preserve"> in the range of 250-500 millidarcies (mD). Depth to the reservoir varies from 900-1200’</w:t>
      </w:r>
      <w:r w:rsidR="00E23F48">
        <w:t>. The hydrocarbons residing in the Forest reservoir are</w:t>
      </w:r>
      <w:r w:rsidR="006F3967">
        <w:t xml:space="preserve"> sweet containing &lt;0.5% sulfur,</w:t>
      </w:r>
      <w:r w:rsidR="00E23F48">
        <w:t xml:space="preserve"> heavy</w:t>
      </w:r>
      <w:r w:rsidR="00DB52DA">
        <w:t xml:space="preserve"> with gravity ranging </w:t>
      </w:r>
      <w:r w:rsidR="00DB52DA" w:rsidRPr="00880189">
        <w:t>from 1</w:t>
      </w:r>
      <w:r w:rsidR="00880189" w:rsidRPr="00880189">
        <w:t>0</w:t>
      </w:r>
      <w:r w:rsidR="00DB52DA" w:rsidRPr="00880189">
        <w:t>-1</w:t>
      </w:r>
      <w:r w:rsidR="00880189" w:rsidRPr="00880189">
        <w:t>9</w:t>
      </w:r>
      <w:r w:rsidR="00DB52DA" w:rsidRPr="00880189">
        <w:rPr>
          <w:vertAlign w:val="superscript"/>
        </w:rPr>
        <w:t>0</w:t>
      </w:r>
      <w:r w:rsidR="00DB52DA" w:rsidRPr="00880189">
        <w:t xml:space="preserve"> API</w:t>
      </w:r>
      <w:r w:rsidR="0076571D" w:rsidRPr="00880189">
        <w:t xml:space="preserve"> and </w:t>
      </w:r>
      <w:r w:rsidR="00DB52DA" w:rsidRPr="00880189">
        <w:t>viscous</w:t>
      </w:r>
      <w:r w:rsidR="00DB52DA">
        <w:t xml:space="preserve"> </w:t>
      </w:r>
      <w:r w:rsidR="009F0B9A">
        <w:t xml:space="preserve">at between 4,200-5000 centipoise (cP) </w:t>
      </w:r>
      <w:r w:rsidR="00AD740F">
        <w:t>at reservoir temperature of 99</w:t>
      </w:r>
      <w:r w:rsidR="00AD740F" w:rsidRPr="00AD740F">
        <w:rPr>
          <w:vertAlign w:val="superscript"/>
        </w:rPr>
        <w:t>0</w:t>
      </w:r>
      <w:r w:rsidR="00AD740F">
        <w:t>F</w:t>
      </w:r>
      <w:r w:rsidR="001F153C">
        <w:t xml:space="preserve"> making them ideal for production by thermal </w:t>
      </w:r>
      <w:r w:rsidR="00CB1AD8">
        <w:t>techniques</w:t>
      </w:r>
      <w:r w:rsidR="006F3967">
        <w:t>.</w:t>
      </w:r>
      <w:r w:rsidR="00F16C67">
        <w:t xml:space="preserve"> </w:t>
      </w:r>
      <w:r w:rsidR="00AD740F">
        <w:t>Oil saturation is 75%</w:t>
      </w:r>
      <w:r w:rsidR="00F16C67">
        <w:t xml:space="preserve"> and reservoir pressure is 500 psi.</w:t>
      </w:r>
      <w:r w:rsidR="00173BDE">
        <w:t xml:space="preserve"> Currently the field </w:t>
      </w:r>
      <w:r w:rsidR="006B7CAE">
        <w:t>produces approximately</w:t>
      </w:r>
      <w:r w:rsidR="00173BDE">
        <w:t xml:space="preserve"> 160 bopd </w:t>
      </w:r>
      <w:r w:rsidR="006B7CAE">
        <w:t xml:space="preserve">on cold production </w:t>
      </w:r>
      <w:r w:rsidR="00173BDE">
        <w:t xml:space="preserve">from 30 wells. </w:t>
      </w:r>
    </w:p>
    <w:p w14:paraId="6F35B2A0" w14:textId="5FB4F32B" w:rsidR="00CB1AD8" w:rsidRDefault="00CB1AD8" w:rsidP="00CB1AD8">
      <w:pPr>
        <w:jc w:val="both"/>
      </w:pPr>
    </w:p>
    <w:p w14:paraId="5A549A54" w14:textId="77777777" w:rsidR="0030796C" w:rsidRDefault="00CB1AD8" w:rsidP="00CB1AD8">
      <w:pPr>
        <w:jc w:val="both"/>
      </w:pPr>
      <w:r>
        <w:t xml:space="preserve">Cumulative production in Block E to date is on the order of </w:t>
      </w:r>
      <w:r w:rsidR="00D749BC">
        <w:t>68</w:t>
      </w:r>
      <w:r>
        <w:t xml:space="preserve">0,000 barrels </w:t>
      </w:r>
      <w:r w:rsidR="00F07573">
        <w:t xml:space="preserve">by cold production and represents less than 1% recovery of the estimated 81 million barrels (MMBO) of oil in place. </w:t>
      </w:r>
      <w:r w:rsidR="0069793A">
        <w:t xml:space="preserve">A 30-acre steam injection pilot just 660’ to the west of Block E implemented by Petrotrin/Texaco from 1981-2003 however, produced </w:t>
      </w:r>
      <w:r w:rsidR="0006723F">
        <w:t>approximately</w:t>
      </w:r>
      <w:r w:rsidR="0069793A">
        <w:t xml:space="preserve"> 3 MMBO of the 6.1 MMBO in place for a recovery factor of 49%</w:t>
      </w:r>
      <w:r w:rsidR="0006723F">
        <w:t xml:space="preserve"> </w:t>
      </w:r>
      <w:r w:rsidR="009B2CAD">
        <w:t xml:space="preserve">demonstrating the commercial producibility of the </w:t>
      </w:r>
      <w:r w:rsidR="00AC08CD">
        <w:t xml:space="preserve">heavy </w:t>
      </w:r>
      <w:r w:rsidR="009B2CAD">
        <w:t>crudes by thermal methods and justifying GCA to assign proved reserves for NHE</w:t>
      </w:r>
      <w:r w:rsidR="00333E43">
        <w:t xml:space="preserve"> in Block E</w:t>
      </w:r>
      <w:r w:rsidR="004D20F4">
        <w:t xml:space="preserve"> in 2008</w:t>
      </w:r>
      <w:r w:rsidR="00333E43">
        <w:t>.</w:t>
      </w:r>
      <w:r w:rsidR="009B2CAD">
        <w:t xml:space="preserve"> </w:t>
      </w:r>
      <w:r w:rsidR="0069793A">
        <w:t xml:space="preserve"> </w:t>
      </w:r>
      <w:r w:rsidR="004D20F4">
        <w:t>NHE has drilled and completed 3</w:t>
      </w:r>
      <w:r w:rsidR="00552BC4">
        <w:t>2</w:t>
      </w:r>
      <w:r w:rsidR="004D20F4">
        <w:t xml:space="preserve"> new wells since the 2008 GCA reserves certification </w:t>
      </w:r>
      <w:r w:rsidR="00AC08CD">
        <w:t xml:space="preserve">for a </w:t>
      </w:r>
      <w:r w:rsidR="00240648">
        <w:t xml:space="preserve">total of 110 completed wells at a </w:t>
      </w:r>
      <w:r w:rsidR="00AC08CD">
        <w:t>well spacing in the core of the reservoir of generally 2.5 acres or less</w:t>
      </w:r>
      <w:r w:rsidR="00F13481">
        <w:t>.</w:t>
      </w:r>
      <w:r w:rsidR="00173BDE">
        <w:t xml:space="preserve"> </w:t>
      </w:r>
      <w:r w:rsidR="00F13481">
        <w:t>I</w:t>
      </w:r>
      <w:r w:rsidR="004D20F4">
        <w:t>n conjunction with Greenflame</w:t>
      </w:r>
      <w:r w:rsidR="00F13481">
        <w:t>, the team</w:t>
      </w:r>
      <w:r w:rsidR="004D20F4">
        <w:t xml:space="preserve"> </w:t>
      </w:r>
      <w:r w:rsidR="00173BDE">
        <w:t xml:space="preserve">has </w:t>
      </w:r>
      <w:r w:rsidR="00AC08CD">
        <w:t>designed a new development p</w:t>
      </w:r>
      <w:r w:rsidR="00173BDE">
        <w:t>rogram</w:t>
      </w:r>
      <w:r w:rsidR="00AC08CD">
        <w:t xml:space="preserve"> that includes advanced EOR methods of injecting superheated steam and flue gas (up to 100% CO</w:t>
      </w:r>
      <w:r w:rsidR="00AC08CD" w:rsidRPr="00AC08CD">
        <w:rPr>
          <w:vertAlign w:val="subscript"/>
        </w:rPr>
        <w:t>2</w:t>
      </w:r>
      <w:r w:rsidR="00AC08CD">
        <w:t>)</w:t>
      </w:r>
      <w:r w:rsidR="00173BDE">
        <w:t xml:space="preserve"> and that is modeled to</w:t>
      </w:r>
      <w:r w:rsidR="00AC08CD">
        <w:t xml:space="preserve"> </w:t>
      </w:r>
      <w:r w:rsidR="00173BDE">
        <w:t>recovery more than 80% of the OOIP</w:t>
      </w:r>
      <w:r w:rsidR="00F13481">
        <w:t xml:space="preserve"> with the added potential for substantial CO</w:t>
      </w:r>
      <w:r w:rsidR="00F13481" w:rsidRPr="00F13481">
        <w:rPr>
          <w:vertAlign w:val="subscript"/>
        </w:rPr>
        <w:t>2</w:t>
      </w:r>
      <w:r w:rsidR="00F13481">
        <w:t xml:space="preserve"> sequestration</w:t>
      </w:r>
      <w:r w:rsidR="00173BDE">
        <w:t>.</w:t>
      </w:r>
      <w:r w:rsidR="008161A3">
        <w:t xml:space="preserve"> The </w:t>
      </w:r>
      <w:r w:rsidR="006D0254">
        <w:t xml:space="preserve">wells are ready for implementation of the advanced EOR program upon raising investor capital and </w:t>
      </w:r>
      <w:r w:rsidR="00F13481">
        <w:t>the economic evaluation promises a low cost, high netback and potentially carbon neutral oil production.</w:t>
      </w:r>
    </w:p>
    <w:p w14:paraId="06895B85" w14:textId="77777777" w:rsidR="0030796C" w:rsidRDefault="0030796C" w:rsidP="00CB1AD8">
      <w:pPr>
        <w:jc w:val="both"/>
      </w:pPr>
    </w:p>
    <w:p w14:paraId="4924A6D7" w14:textId="3F8E0F6A" w:rsidR="00F07573" w:rsidRDefault="0030796C" w:rsidP="00CB1AD8">
      <w:pPr>
        <w:jc w:val="both"/>
      </w:pPr>
      <w:r>
        <w:rPr>
          <w:noProof/>
        </w:rPr>
        <w:lastRenderedPageBreak/>
        <w:drawing>
          <wp:inline distT="0" distB="0" distL="0" distR="0" wp14:anchorId="47F231E5" wp14:editId="1F165FE8">
            <wp:extent cx="5731510" cy="2706370"/>
            <wp:effectExtent l="0" t="0" r="2540" b="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6"/>
                    <pic:cNvPicPr/>
                  </pic:nvPicPr>
                  <pic:blipFill>
                    <a:blip r:embed="rId12"/>
                    <a:stretch>
                      <a:fillRect/>
                    </a:stretch>
                  </pic:blipFill>
                  <pic:spPr>
                    <a:xfrm>
                      <a:off x="0" y="0"/>
                      <a:ext cx="5731510" cy="2706370"/>
                    </a:xfrm>
                    <a:prstGeom prst="rect">
                      <a:avLst/>
                    </a:prstGeom>
                  </pic:spPr>
                </pic:pic>
              </a:graphicData>
            </a:graphic>
          </wp:inline>
        </w:drawing>
      </w:r>
      <w:r w:rsidR="006D0254">
        <w:t xml:space="preserve"> </w:t>
      </w:r>
    </w:p>
    <w:p w14:paraId="4BA51E6C" w14:textId="00A65A69" w:rsidR="00D73DD5" w:rsidRDefault="00CB1AD8" w:rsidP="005E6FC9">
      <w:pPr>
        <w:jc w:val="both"/>
      </w:pPr>
      <w:r>
        <w:t xml:space="preserve"> </w:t>
      </w:r>
      <w:r w:rsidR="0030796C">
        <w:t>Figure 1. Location of Parrylands field Block and key infrastructure in South Trinidad.</w:t>
      </w:r>
    </w:p>
    <w:p w14:paraId="7157AE84" w14:textId="2E6D7DB4" w:rsidR="00E474DC" w:rsidRDefault="00A1542D" w:rsidP="00E474DC">
      <w:pPr>
        <w:pStyle w:val="Heading1"/>
      </w:pPr>
      <w:bookmarkStart w:id="4" w:name="_Toc82760754"/>
      <w:bookmarkStart w:id="5" w:name="_Toc109039036"/>
      <w:r>
        <w:t>Geology</w:t>
      </w:r>
      <w:r w:rsidR="00E474DC">
        <w:t xml:space="preserve"> of the </w:t>
      </w:r>
      <w:bookmarkEnd w:id="4"/>
      <w:r w:rsidR="005916BD">
        <w:t>Parrylands Field</w:t>
      </w:r>
      <w:r w:rsidR="00C60A58">
        <w:t>, Trinidad Southern Basin</w:t>
      </w:r>
      <w:bookmarkEnd w:id="5"/>
      <w:r w:rsidR="005916BD">
        <w:t xml:space="preserve"> </w:t>
      </w:r>
    </w:p>
    <w:p w14:paraId="4BCF01FA" w14:textId="63FF92F9" w:rsidR="00E474DC" w:rsidRDefault="00E474DC" w:rsidP="00E474DC">
      <w:pPr>
        <w:jc w:val="both"/>
      </w:pPr>
    </w:p>
    <w:p w14:paraId="3A314025" w14:textId="758EF1DD" w:rsidR="00193B25" w:rsidRDefault="00876D7B" w:rsidP="00E474DC">
      <w:pPr>
        <w:jc w:val="both"/>
      </w:pPr>
      <w:r>
        <w:t>Late Tertiary-age sandstone reservoirs i</w:t>
      </w:r>
      <w:r w:rsidR="00193B25">
        <w:t>n the southern basin of Trinidad</w:t>
      </w:r>
      <w:r>
        <w:t>, just</w:t>
      </w:r>
      <w:r w:rsidR="00193B25">
        <w:t xml:space="preserve"> 11 miles off the coast of Venezuela</w:t>
      </w:r>
      <w:r>
        <w:t xml:space="preserve">, were discovered to contain abundant </w:t>
      </w:r>
      <w:r w:rsidR="00193B25">
        <w:t>heavy oil accumulations</w:t>
      </w:r>
      <w:r>
        <w:t xml:space="preserve"> from well drilling in 1866</w:t>
      </w:r>
      <w:r w:rsidR="00193B25">
        <w:t xml:space="preserve">. The </w:t>
      </w:r>
      <w:r>
        <w:t xml:space="preserve">Parrylands portion of this discovery was first drilled in 1913 </w:t>
      </w:r>
      <w:r w:rsidR="009D3A59">
        <w:t xml:space="preserve">(figure </w:t>
      </w:r>
      <w:r w:rsidR="0030796C">
        <w:t>2</w:t>
      </w:r>
      <w:r w:rsidR="009D3A59">
        <w:t xml:space="preserve">) </w:t>
      </w:r>
      <w:r>
        <w:t xml:space="preserve">and </w:t>
      </w:r>
      <w:r w:rsidR="00D607E6">
        <w:t xml:space="preserve">slowly developed by </w:t>
      </w:r>
      <w:r w:rsidR="00193B25">
        <w:t>Trinidad Oilfields Company and United British Oilfields of Trinidad</w:t>
      </w:r>
      <w:r w:rsidR="00D607E6">
        <w:t xml:space="preserve">. </w:t>
      </w:r>
      <w:r w:rsidR="00193B25">
        <w:t xml:space="preserve">Texaco and Shell </w:t>
      </w:r>
      <w:r w:rsidR="00C430F0">
        <w:t xml:space="preserve">subsequently </w:t>
      </w:r>
      <w:r w:rsidR="00193B25">
        <w:t>operat</w:t>
      </w:r>
      <w:r w:rsidR="00C430F0">
        <w:t>ed in parts of the area</w:t>
      </w:r>
      <w:r w:rsidR="00193B25">
        <w:t xml:space="preserve"> until the field was merged into Trinidad &amp; Tobago’s National Oil Company, Petrotrin.</w:t>
      </w:r>
    </w:p>
    <w:p w14:paraId="0E71CDA1" w14:textId="3EEA6158" w:rsidR="009D3A59" w:rsidRDefault="009D3A59" w:rsidP="00E474DC">
      <w:pPr>
        <w:jc w:val="both"/>
      </w:pPr>
    </w:p>
    <w:p w14:paraId="40A54E3A" w14:textId="5D45342B" w:rsidR="009D3A59" w:rsidRDefault="009B3246" w:rsidP="00E474DC">
      <w:pPr>
        <w:jc w:val="both"/>
      </w:pPr>
      <w:r>
        <w:rPr>
          <w:noProof/>
        </w:rPr>
        <w:lastRenderedPageBreak/>
        <w:drawing>
          <wp:inline distT="0" distB="0" distL="0" distR="0" wp14:anchorId="42EF46FD" wp14:editId="2512F55D">
            <wp:extent cx="5731510" cy="4174490"/>
            <wp:effectExtent l="0" t="0" r="2540" b="0"/>
            <wp:docPr id="2095" name="Picture 20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 name="Picture 2095" descr="Diagram&#10;&#10;Description automatically generated"/>
                    <pic:cNvPicPr/>
                  </pic:nvPicPr>
                  <pic:blipFill>
                    <a:blip r:embed="rId13"/>
                    <a:stretch>
                      <a:fillRect/>
                    </a:stretch>
                  </pic:blipFill>
                  <pic:spPr>
                    <a:xfrm>
                      <a:off x="0" y="0"/>
                      <a:ext cx="5731510" cy="4174490"/>
                    </a:xfrm>
                    <a:prstGeom prst="rect">
                      <a:avLst/>
                    </a:prstGeom>
                  </pic:spPr>
                </pic:pic>
              </a:graphicData>
            </a:graphic>
          </wp:inline>
        </w:drawing>
      </w:r>
    </w:p>
    <w:p w14:paraId="3D169416" w14:textId="01DEDE84" w:rsidR="00193B25" w:rsidRDefault="009D3A59" w:rsidP="00E474DC">
      <w:pPr>
        <w:jc w:val="both"/>
      </w:pPr>
      <w:r>
        <w:t xml:space="preserve">Figure </w:t>
      </w:r>
      <w:r w:rsidR="0030796C">
        <w:t>2</w:t>
      </w:r>
      <w:r>
        <w:t>. Location map of Parrylands field, Trinidad (modified after Salvador and Sta</w:t>
      </w:r>
      <w:r w:rsidR="008D49AE">
        <w:t>i</w:t>
      </w:r>
      <w:r>
        <w:t>nforth, 1968)</w:t>
      </w:r>
      <w:r w:rsidR="009B3246">
        <w:t>.</w:t>
      </w:r>
    </w:p>
    <w:p w14:paraId="24A30E36" w14:textId="77777777" w:rsidR="009D3A59" w:rsidRDefault="009D3A59" w:rsidP="00E474DC">
      <w:pPr>
        <w:jc w:val="both"/>
      </w:pPr>
    </w:p>
    <w:p w14:paraId="720CB0C5" w14:textId="31698F08" w:rsidR="004B6CD5" w:rsidRDefault="00193B25" w:rsidP="004B6CD5">
      <w:pPr>
        <w:jc w:val="both"/>
      </w:pPr>
      <w:r>
        <w:t>The Parrylands Oil Field</w:t>
      </w:r>
      <w:r w:rsidR="008D49AE">
        <w:t xml:space="preserve"> lies on a</w:t>
      </w:r>
      <w:r>
        <w:t xml:space="preserve"> regional trend of major oilfields in the southwestern peninsula of Trinidad</w:t>
      </w:r>
      <w:r w:rsidR="004177C7">
        <w:t xml:space="preserve"> </w:t>
      </w:r>
      <w:r w:rsidR="008D49AE">
        <w:t>and forms</w:t>
      </w:r>
      <w:r>
        <w:t xml:space="preserve"> part of the Fyzabad group of pools</w:t>
      </w:r>
      <w:r w:rsidR="008D49AE">
        <w:t xml:space="preserve"> consisting</w:t>
      </w:r>
      <w:r>
        <w:t xml:space="preserve"> of various Miocene and younger sediment accumulations</w:t>
      </w:r>
      <w:r w:rsidR="008D49AE">
        <w:t xml:space="preserve"> along</w:t>
      </w:r>
      <w:r>
        <w:t xml:space="preserve"> an east-west axis of anticlines in the southern </w:t>
      </w:r>
      <w:r w:rsidRPr="00E00F5D">
        <w:t>part of Trinidad</w:t>
      </w:r>
      <w:r w:rsidR="008D49AE" w:rsidRPr="00E00F5D">
        <w:t xml:space="preserve"> (figure </w:t>
      </w:r>
      <w:r w:rsidR="00E00F5D">
        <w:t>3</w:t>
      </w:r>
      <w:r w:rsidR="008D49AE">
        <w:t>)</w:t>
      </w:r>
      <w:r>
        <w:t>.</w:t>
      </w:r>
      <w:r w:rsidR="003C089B">
        <w:t xml:space="preserve"> </w:t>
      </w:r>
      <w:r w:rsidR="004B6CD5">
        <w:t>Fyzabad Group of fields in the SW Peninsula of Trinidad lies north of the Los Bajos Fault</w:t>
      </w:r>
      <w:r w:rsidR="00D106B5">
        <w:t>,</w:t>
      </w:r>
      <w:r w:rsidR="004B6CD5">
        <w:t xml:space="preserve"> a major right lateral wrench fault </w:t>
      </w:r>
      <w:r w:rsidR="00D106B5">
        <w:t>that</w:t>
      </w:r>
      <w:r w:rsidR="004B6CD5">
        <w:t xml:space="preserve"> can be traced across the southwest of Trinidad in a direction 290</w:t>
      </w:r>
      <w:r w:rsidR="004B6CD5" w:rsidRPr="004B6CD5">
        <w:rPr>
          <w:vertAlign w:val="superscript"/>
        </w:rPr>
        <w:t>0</w:t>
      </w:r>
      <w:r w:rsidR="004B6CD5">
        <w:t xml:space="preserve"> – 110</w:t>
      </w:r>
      <w:r w:rsidR="004B6CD5" w:rsidRPr="004B6CD5">
        <w:rPr>
          <w:vertAlign w:val="superscript"/>
        </w:rPr>
        <w:t>0</w:t>
      </w:r>
      <w:r w:rsidR="004B6CD5">
        <w:t xml:space="preserve">. </w:t>
      </w:r>
      <w:r w:rsidR="00D106B5">
        <w:t>The horizontal displacement is on the order of six miles in a right lateral sense and the</w:t>
      </w:r>
      <w:r w:rsidR="004B6CD5">
        <w:t xml:space="preserve"> fault cuts and offsets all structures</w:t>
      </w:r>
      <w:r w:rsidR="00D106B5">
        <w:t xml:space="preserve"> that</w:t>
      </w:r>
      <w:r w:rsidR="004B6CD5">
        <w:t xml:space="preserve"> it intersects. </w:t>
      </w:r>
      <w:r w:rsidR="00D106B5">
        <w:t>A subset of relief faults to the Los Bajos Fault run in a</w:t>
      </w:r>
      <w:r w:rsidR="004B6CD5">
        <w:t xml:space="preserve"> north</w:t>
      </w:r>
      <w:r w:rsidR="00D106B5">
        <w:t>-</w:t>
      </w:r>
      <w:r w:rsidR="004B6CD5">
        <w:t xml:space="preserve">south </w:t>
      </w:r>
      <w:r w:rsidR="00D106B5">
        <w:t>orientation across</w:t>
      </w:r>
      <w:r w:rsidR="003D3279">
        <w:t xml:space="preserve"> </w:t>
      </w:r>
      <w:r w:rsidR="00B4025D">
        <w:t xml:space="preserve">the Parrylands field </w:t>
      </w:r>
      <w:r w:rsidR="004B6CD5">
        <w:t xml:space="preserve">and act as east and west traps for the hydrocarbons. The Morne L’Enfer syncline </w:t>
      </w:r>
      <w:r w:rsidR="00B4025D">
        <w:t xml:space="preserve">also </w:t>
      </w:r>
      <w:r w:rsidR="004B6CD5">
        <w:t xml:space="preserve">crosses the Parrylands </w:t>
      </w:r>
      <w:r w:rsidR="00B4025D">
        <w:t>field</w:t>
      </w:r>
      <w:r w:rsidR="004B6CD5">
        <w:t xml:space="preserve"> in an east-west direction creating </w:t>
      </w:r>
      <w:r w:rsidR="00B4025D">
        <w:t>a</w:t>
      </w:r>
      <w:r w:rsidR="004B6CD5">
        <w:t xml:space="preserve"> depositional </w:t>
      </w:r>
      <w:r w:rsidR="00B4025D">
        <w:t>centre</w:t>
      </w:r>
      <w:r w:rsidR="004B6CD5">
        <w:t xml:space="preserve"> for the Forest sands</w:t>
      </w:r>
      <w:r w:rsidR="00B4025D">
        <w:t xml:space="preserve"> resulting in</w:t>
      </w:r>
      <w:r w:rsidR="009B0EA1">
        <w:t xml:space="preserve"> greater than</w:t>
      </w:r>
      <w:r w:rsidR="004B6CD5">
        <w:t xml:space="preserve"> 200’ thickness</w:t>
      </w:r>
      <w:r w:rsidR="00B4025D">
        <w:t xml:space="preserve"> of reservoir quality sandstone</w:t>
      </w:r>
      <w:r w:rsidR="004B6CD5">
        <w:t xml:space="preserve"> and the vast reserves of the Forest Sand in the Parrylands Block E.</w:t>
      </w:r>
    </w:p>
    <w:p w14:paraId="01C12956" w14:textId="397C2D3F" w:rsidR="004B6CD5" w:rsidRDefault="004B6CD5" w:rsidP="00E474DC">
      <w:pPr>
        <w:jc w:val="both"/>
      </w:pPr>
    </w:p>
    <w:p w14:paraId="6BE08EF8" w14:textId="2BB72DD7" w:rsidR="00571192" w:rsidRDefault="00571192" w:rsidP="00571192">
      <w:pPr>
        <w:pStyle w:val="Heading2"/>
      </w:pPr>
      <w:bookmarkStart w:id="6" w:name="_Toc109039037"/>
      <w:r>
        <w:t>Reservoir Stratigraphy at Parrylands</w:t>
      </w:r>
      <w:bookmarkEnd w:id="6"/>
    </w:p>
    <w:p w14:paraId="59981BB7" w14:textId="77777777" w:rsidR="00571192" w:rsidRDefault="00571192" w:rsidP="00E474DC">
      <w:pPr>
        <w:jc w:val="both"/>
      </w:pPr>
    </w:p>
    <w:p w14:paraId="643E59C6" w14:textId="68E74109" w:rsidR="00193B25" w:rsidRDefault="003C089B" w:rsidP="00E474DC">
      <w:pPr>
        <w:jc w:val="both"/>
      </w:pPr>
      <w:r>
        <w:t xml:space="preserve">The reservoir stratigraphy of the Parrylands field includes 3 major reservoirs: the Cruse Formation, the Forest </w:t>
      </w:r>
      <w:r w:rsidR="00971447">
        <w:t xml:space="preserve">Formation and the Morne L’Enfer Formation (figure </w:t>
      </w:r>
      <w:r w:rsidR="00E00F5D">
        <w:t>3</w:t>
      </w:r>
      <w:r w:rsidR="00971447">
        <w:t>). The Forest Formation is host to the heavy oils to be exploited by advanced cyclic steam technologies and is the subject of reserves certification in this report.</w:t>
      </w:r>
    </w:p>
    <w:p w14:paraId="27B9870F" w14:textId="4AE05A64" w:rsidR="00A1542D" w:rsidRDefault="00A1542D" w:rsidP="00E474DC">
      <w:pPr>
        <w:jc w:val="both"/>
      </w:pPr>
    </w:p>
    <w:p w14:paraId="1BF89475" w14:textId="2A641616" w:rsidR="00A1542D" w:rsidRDefault="00A1542D" w:rsidP="00E474DC">
      <w:pPr>
        <w:jc w:val="both"/>
      </w:pPr>
      <w:r w:rsidRPr="005B2C94">
        <w:rPr>
          <w:noProof/>
          <w:sz w:val="20"/>
          <w:szCs w:val="20"/>
        </w:rPr>
        <w:drawing>
          <wp:inline distT="0" distB="0" distL="0" distR="0" wp14:anchorId="5CB00BB4" wp14:editId="68BDDDB1">
            <wp:extent cx="4874400" cy="5788800"/>
            <wp:effectExtent l="0" t="0" r="2540" b="2540"/>
            <wp:docPr id="2084" name="Picture 16" descr="Diagram&#10;&#10;Description automatically generated with medium confidence">
              <a:extLst xmlns:a="http://schemas.openxmlformats.org/drawingml/2006/main">
                <a:ext uri="{FF2B5EF4-FFF2-40B4-BE49-F238E27FC236}">
                  <a16:creationId xmlns:a16="http://schemas.microsoft.com/office/drawing/2014/main" id="{7EE7F2A3-21E3-3E4C-A11B-808B38BFEA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 name="Picture 16" descr="Diagram&#10;&#10;Description automatically generated with medium confidence">
                      <a:extLst>
                        <a:ext uri="{FF2B5EF4-FFF2-40B4-BE49-F238E27FC236}">
                          <a16:creationId xmlns:a16="http://schemas.microsoft.com/office/drawing/2014/main" id="{7EE7F2A3-21E3-3E4C-A11B-808B38BFEAB2}"/>
                        </a:ext>
                      </a:extLst>
                    </pic:cNvPr>
                    <pic:cNvPicPr>
                      <a:picLocks noChangeAspect="1"/>
                    </pic:cNvPicPr>
                  </pic:nvPicPr>
                  <pic:blipFill>
                    <a:blip r:embed="rId14" cstate="screen">
                      <a:extLst>
                        <a:ext uri="{28A0092B-C50C-407E-A947-70E740481C1C}">
                          <a14:useLocalDpi xmlns:a14="http://schemas.microsoft.com/office/drawing/2010/main"/>
                        </a:ext>
                      </a:extLst>
                    </a:blip>
                    <a:stretch>
                      <a:fillRect/>
                    </a:stretch>
                  </pic:blipFill>
                  <pic:spPr>
                    <a:xfrm>
                      <a:off x="0" y="0"/>
                      <a:ext cx="4874400" cy="5788800"/>
                    </a:xfrm>
                    <a:prstGeom prst="rect">
                      <a:avLst/>
                    </a:prstGeom>
                  </pic:spPr>
                </pic:pic>
              </a:graphicData>
            </a:graphic>
          </wp:inline>
        </w:drawing>
      </w:r>
    </w:p>
    <w:p w14:paraId="32E75B66" w14:textId="44A657B2" w:rsidR="00A1542D" w:rsidRDefault="00A1542D" w:rsidP="00A1542D">
      <w:pPr>
        <w:jc w:val="both"/>
      </w:pPr>
      <w:r>
        <w:t xml:space="preserve">Figure </w:t>
      </w:r>
      <w:r w:rsidR="00E00F5D">
        <w:t>3</w:t>
      </w:r>
      <w:r>
        <w:t>. Stratigraphy of the oil fields of the Southern basin, Trinidad (from Mantaur Petroleum Corp). The heavy oils residing in the Forest Reservoirs are the target for recovery by advanced cyclic steam technologies.</w:t>
      </w:r>
    </w:p>
    <w:p w14:paraId="41F974DF" w14:textId="06DF09EF" w:rsidR="00262257" w:rsidRDefault="00262257" w:rsidP="00E474DC">
      <w:pPr>
        <w:jc w:val="both"/>
      </w:pPr>
    </w:p>
    <w:p w14:paraId="358CD1FE" w14:textId="007AD7C3" w:rsidR="00971447" w:rsidRDefault="00971447" w:rsidP="00E474DC">
      <w:pPr>
        <w:jc w:val="both"/>
      </w:pPr>
      <w:r>
        <w:t>Depositionally, the stratigraphic section at Parrylands represents a major Upper Miocene-Lower Pliocene</w:t>
      </w:r>
      <w:r w:rsidR="00615B95">
        <w:t>-</w:t>
      </w:r>
      <w:r>
        <w:t xml:space="preserve">age regressive </w:t>
      </w:r>
      <w:r w:rsidR="00615B95">
        <w:t xml:space="preserve">deltaic </w:t>
      </w:r>
      <w:r>
        <w:t xml:space="preserve">sequence </w:t>
      </w:r>
      <w:r w:rsidR="00615B95">
        <w:t>unconformably overlying t</w:t>
      </w:r>
      <w:r>
        <w:t>he</w:t>
      </w:r>
      <w:r w:rsidR="00615B95">
        <w:t xml:space="preserve"> massive sands (over 200’ thick) of the Cruse Formation</w:t>
      </w:r>
      <w:r>
        <w:t xml:space="preserve">. </w:t>
      </w:r>
      <w:r w:rsidR="00615B95">
        <w:t>T</w:t>
      </w:r>
      <w:r>
        <w:t>he lower Forest Clay w</w:t>
      </w:r>
      <w:r w:rsidR="00615B95">
        <w:t xml:space="preserve">as </w:t>
      </w:r>
      <w:r>
        <w:t>deposited on the Cruse</w:t>
      </w:r>
      <w:r w:rsidR="00615B95">
        <w:t xml:space="preserve"> unconformity surface</w:t>
      </w:r>
      <w:r w:rsidR="00B179EB">
        <w:t xml:space="preserve"> and is the </w:t>
      </w:r>
      <w:r>
        <w:t xml:space="preserve">lithologic marker </w:t>
      </w:r>
      <w:r w:rsidR="00B179EB">
        <w:t xml:space="preserve">that </w:t>
      </w:r>
      <w:r>
        <w:t>defin</w:t>
      </w:r>
      <w:r w:rsidR="00B179EB">
        <w:t>es</w:t>
      </w:r>
      <w:r>
        <w:t xml:space="preserve"> the base of the Forest Formation. </w:t>
      </w:r>
      <w:r w:rsidR="00782638">
        <w:t xml:space="preserve">A </w:t>
      </w:r>
      <w:r>
        <w:t xml:space="preserve">succession of </w:t>
      </w:r>
      <w:r w:rsidR="00782638">
        <w:t xml:space="preserve">progradational </w:t>
      </w:r>
      <w:r>
        <w:t>sand</w:t>
      </w:r>
      <w:r w:rsidR="00782638">
        <w:t xml:space="preserve">stone units interpreted to be </w:t>
      </w:r>
      <w:r>
        <w:t xml:space="preserve">foreset bedding structures </w:t>
      </w:r>
      <w:r w:rsidR="00782638">
        <w:t xml:space="preserve">of a westward advancing delta system overlie </w:t>
      </w:r>
      <w:r w:rsidR="00C84658">
        <w:t xml:space="preserve">the lower Forest Clay. Sandstone units in the middle of </w:t>
      </w:r>
      <w:r w:rsidR="00B535BB">
        <w:t xml:space="preserve">the </w:t>
      </w:r>
      <w:r w:rsidR="00C84658">
        <w:t xml:space="preserve">progradational sequence are interpreted as </w:t>
      </w:r>
      <w:r>
        <w:t>barrier</w:t>
      </w:r>
      <w:r w:rsidR="00C84658">
        <w:t>-</w:t>
      </w:r>
      <w:r>
        <w:t>bar deposit</w:t>
      </w:r>
      <w:r w:rsidR="00C84658">
        <w:t>s</w:t>
      </w:r>
      <w:r>
        <w:t xml:space="preserve"> in a delta front environment</w:t>
      </w:r>
      <w:r w:rsidR="00C84658">
        <w:t xml:space="preserve"> and consist of a</w:t>
      </w:r>
      <w:r>
        <w:t xml:space="preserve"> series of </w:t>
      </w:r>
      <w:r w:rsidR="00C84658">
        <w:t xml:space="preserve">well sorted fine to very fine-grained </w:t>
      </w:r>
      <w:r>
        <w:t>sands</w:t>
      </w:r>
      <w:r w:rsidR="00C84658">
        <w:t>tones</w:t>
      </w:r>
      <w:r>
        <w:t xml:space="preserve"> and </w:t>
      </w:r>
      <w:r w:rsidR="00C84658">
        <w:t xml:space="preserve">interbedded </w:t>
      </w:r>
      <w:r>
        <w:t>shales</w:t>
      </w:r>
      <w:r w:rsidR="00C84658">
        <w:t>.</w:t>
      </w:r>
      <w:r>
        <w:t xml:space="preserve"> The upper sand</w:t>
      </w:r>
      <w:r w:rsidR="00C84658">
        <w:t>stone units are</w:t>
      </w:r>
      <w:r>
        <w:t xml:space="preserve"> </w:t>
      </w:r>
      <w:r>
        <w:lastRenderedPageBreak/>
        <w:t xml:space="preserve">designated as the Forest “A” </w:t>
      </w:r>
      <w:r w:rsidR="00C84658">
        <w:t>S</w:t>
      </w:r>
      <w:r w:rsidR="00A03734">
        <w:t>an</w:t>
      </w:r>
      <w:r w:rsidR="00C84658">
        <w:t>dstone</w:t>
      </w:r>
      <w:r w:rsidR="00A03734">
        <w:t xml:space="preserve"> and </w:t>
      </w:r>
      <w:r w:rsidR="00B535BB">
        <w:t>are</w:t>
      </w:r>
      <w:r w:rsidR="00A03734">
        <w:t xml:space="preserve"> interpreted as an amalgamation of</w:t>
      </w:r>
      <w:r>
        <w:t xml:space="preserve"> north-northwest trending barrier bar</w:t>
      </w:r>
      <w:r w:rsidR="00A03734">
        <w:t>s,</w:t>
      </w:r>
      <w:r>
        <w:t xml:space="preserve"> seven </w:t>
      </w:r>
      <w:r w:rsidR="00A03734">
        <w:t xml:space="preserve">individual </w:t>
      </w:r>
      <w:r>
        <w:t>bars</w:t>
      </w:r>
      <w:r w:rsidR="00A03734">
        <w:t xml:space="preserve"> of which</w:t>
      </w:r>
      <w:r>
        <w:t xml:space="preserve"> are defined in the Parrylands field area.</w:t>
      </w:r>
      <w:r w:rsidR="00B535BB">
        <w:t xml:space="preserve"> </w:t>
      </w:r>
      <w:r>
        <w:t xml:space="preserve">The </w:t>
      </w:r>
      <w:r w:rsidR="00B535BB">
        <w:t xml:space="preserve">Forest Sandstone is capped by </w:t>
      </w:r>
      <w:r>
        <w:t xml:space="preserve">the Upper Forest Clay which is </w:t>
      </w:r>
      <w:r w:rsidR="00B535BB">
        <w:t xml:space="preserve">in turn </w:t>
      </w:r>
      <w:r>
        <w:t>conformably overlain by the Morne L’Enfer sequence</w:t>
      </w:r>
      <w:r w:rsidR="00B535BB">
        <w:t xml:space="preserve"> that</w:t>
      </w:r>
      <w:r>
        <w:t xml:space="preserve"> consists of generally massive sands with </w:t>
      </w:r>
      <w:r w:rsidR="00B535BB">
        <w:t xml:space="preserve">interbedded </w:t>
      </w:r>
      <w:r>
        <w:t>silty clays</w:t>
      </w:r>
      <w:r w:rsidR="00B535BB">
        <w:t xml:space="preserve"> and lignites.</w:t>
      </w:r>
    </w:p>
    <w:p w14:paraId="677E36DD" w14:textId="4888812A" w:rsidR="00485DE4" w:rsidRDefault="00485DE4" w:rsidP="00E474DC">
      <w:pPr>
        <w:jc w:val="both"/>
      </w:pPr>
    </w:p>
    <w:p w14:paraId="66AB89CB" w14:textId="09B39C6E" w:rsidR="00485DE4" w:rsidRDefault="00485DE4" w:rsidP="00485DE4">
      <w:pPr>
        <w:pStyle w:val="Heading2"/>
      </w:pPr>
      <w:bookmarkStart w:id="7" w:name="_Toc109039038"/>
      <w:r>
        <w:t>Parrylands Field Block E</w:t>
      </w:r>
      <w:bookmarkEnd w:id="7"/>
      <w:r>
        <w:t xml:space="preserve"> </w:t>
      </w:r>
    </w:p>
    <w:p w14:paraId="38CB348B" w14:textId="77777777" w:rsidR="00485DE4" w:rsidRDefault="00485DE4" w:rsidP="00E474DC">
      <w:pPr>
        <w:jc w:val="both"/>
      </w:pPr>
    </w:p>
    <w:p w14:paraId="2E5E54E2" w14:textId="77E5C67E" w:rsidR="0007421D" w:rsidRDefault="00A87C6B" w:rsidP="00E474DC">
      <w:pPr>
        <w:jc w:val="both"/>
      </w:pPr>
      <w:r>
        <w:t>Greenflame</w:t>
      </w:r>
      <w:r w:rsidR="00581E10">
        <w:t xml:space="preserve"> </w:t>
      </w:r>
      <w:r w:rsidR="00E00F5D">
        <w:t>Energy Inc</w:t>
      </w:r>
      <w:r>
        <w:t xml:space="preserve"> </w:t>
      </w:r>
      <w:r w:rsidR="00581E10">
        <w:t>has a production sharing agreement with NHE in</w:t>
      </w:r>
      <w:r>
        <w:t xml:space="preserve"> the </w:t>
      </w:r>
      <w:r w:rsidR="00DE65C4">
        <w:t xml:space="preserve">“proven and producing” </w:t>
      </w:r>
      <w:r>
        <w:t>Block E designation of the</w:t>
      </w:r>
      <w:r w:rsidR="00455097">
        <w:t xml:space="preserve"> Parrylands </w:t>
      </w:r>
      <w:r>
        <w:t>field</w:t>
      </w:r>
      <w:r w:rsidR="00C031D7">
        <w:t xml:space="preserve"> initially, with potential to expand the operations across the Parrylands field area that has as many as 17,000 wells drilled historically</w:t>
      </w:r>
      <w:r>
        <w:t>. Block</w:t>
      </w:r>
      <w:r w:rsidR="00C031D7">
        <w:t xml:space="preserve"> E covers an area</w:t>
      </w:r>
      <w:r>
        <w:t xml:space="preserve"> </w:t>
      </w:r>
      <w:r w:rsidR="00C031D7">
        <w:t>of 744 acres (3 km</w:t>
      </w:r>
      <w:r w:rsidR="00C031D7" w:rsidRPr="00C031D7">
        <w:rPr>
          <w:vertAlign w:val="superscript"/>
        </w:rPr>
        <w:t>2</w:t>
      </w:r>
      <w:r w:rsidR="00C031D7">
        <w:t xml:space="preserve">), </w:t>
      </w:r>
      <w:r w:rsidR="00DE65C4">
        <w:t xml:space="preserve">has </w:t>
      </w:r>
      <w:r w:rsidR="00C031D7">
        <w:t>110 wells drilled and completed and produces</w:t>
      </w:r>
      <w:r w:rsidR="00581E10">
        <w:t xml:space="preserve"> approximately</w:t>
      </w:r>
      <w:r w:rsidR="00C031D7">
        <w:t xml:space="preserve"> 1</w:t>
      </w:r>
      <w:r w:rsidR="00581E10">
        <w:t>6</w:t>
      </w:r>
      <w:r w:rsidR="00C031D7">
        <w:t xml:space="preserve">0 bopd from </w:t>
      </w:r>
      <w:r w:rsidR="00581E10">
        <w:t>3</w:t>
      </w:r>
      <w:r w:rsidR="00C031D7">
        <w:t xml:space="preserve">0 active </w:t>
      </w:r>
      <w:r w:rsidR="00DE65C4">
        <w:t xml:space="preserve">but unstimulated </w:t>
      </w:r>
      <w:r w:rsidR="00C031D7">
        <w:t xml:space="preserve">wells. </w:t>
      </w:r>
      <w:r w:rsidR="00E7136A">
        <w:t>N</w:t>
      </w:r>
      <w:r w:rsidR="00581E10">
        <w:t>HE</w:t>
      </w:r>
      <w:r w:rsidR="00E7136A">
        <w:t xml:space="preserve"> </w:t>
      </w:r>
      <w:r w:rsidR="00C031D7">
        <w:t>estimated</w:t>
      </w:r>
      <w:r w:rsidR="00E7136A">
        <w:t xml:space="preserve"> Block</w:t>
      </w:r>
      <w:r w:rsidR="00F44B5B">
        <w:t xml:space="preserve"> E</w:t>
      </w:r>
      <w:r w:rsidR="00C031D7">
        <w:t xml:space="preserve"> </w:t>
      </w:r>
      <w:r w:rsidR="00455097">
        <w:t xml:space="preserve">to </w:t>
      </w:r>
      <w:r w:rsidR="00455097" w:rsidRPr="00F44B5B">
        <w:t xml:space="preserve">contain </w:t>
      </w:r>
      <w:r w:rsidR="00C031D7" w:rsidRPr="00F44B5B">
        <w:t>81</w:t>
      </w:r>
      <w:r w:rsidR="00455097" w:rsidRPr="00F44B5B">
        <w:t xml:space="preserve"> million of </w:t>
      </w:r>
      <w:r w:rsidR="00C031D7" w:rsidRPr="00F44B5B">
        <w:t>original oil in place (OOIP)</w:t>
      </w:r>
      <w:r w:rsidR="00DE65C4" w:rsidRPr="00F44B5B">
        <w:t xml:space="preserve"> with additional</w:t>
      </w:r>
      <w:r w:rsidR="00DE65C4">
        <w:t xml:space="preserve"> potential at depth (in the Cruse reservoirs) and is ready for immediate development utilizing advanced cyclic steam technology</w:t>
      </w:r>
      <w:r w:rsidR="00455097">
        <w:t>.</w:t>
      </w:r>
    </w:p>
    <w:p w14:paraId="1FF4BA6B" w14:textId="77777777" w:rsidR="0007421D" w:rsidRDefault="0007421D" w:rsidP="00E474DC">
      <w:pPr>
        <w:jc w:val="both"/>
      </w:pPr>
    </w:p>
    <w:p w14:paraId="006F7842" w14:textId="48F69EB2" w:rsidR="00A87C6B" w:rsidRDefault="00C068DD" w:rsidP="00E474DC">
      <w:pPr>
        <w:jc w:val="both"/>
      </w:pPr>
      <w:r>
        <w:t>An unusual characteristic of Block E is the demonstrated g</w:t>
      </w:r>
      <w:r w:rsidR="00455097">
        <w:t xml:space="preserve">ravity segregation of the crude oil in the field </w:t>
      </w:r>
      <w:r>
        <w:t xml:space="preserve">(Rambaran, </w:t>
      </w:r>
      <w:r w:rsidR="00FF1018">
        <w:t>1987</w:t>
      </w:r>
      <w:r>
        <w:t xml:space="preserve">). Lighter crude of </w:t>
      </w:r>
      <w:r w:rsidR="00455097">
        <w:t>16-19</w:t>
      </w:r>
      <w:r w:rsidRPr="00C068DD">
        <w:rPr>
          <w:vertAlign w:val="superscript"/>
        </w:rPr>
        <w:t>0</w:t>
      </w:r>
      <w:r w:rsidR="00455097">
        <w:t xml:space="preserve"> API </w:t>
      </w:r>
      <w:r w:rsidR="00667F02">
        <w:t>gravity</w:t>
      </w:r>
      <w:r w:rsidR="0007421D">
        <w:t xml:space="preserve"> in the field</w:t>
      </w:r>
      <w:r w:rsidR="00455097">
        <w:t xml:space="preserve"> </w:t>
      </w:r>
      <w:r>
        <w:t>is found</w:t>
      </w:r>
      <w:r w:rsidR="00455097">
        <w:t xml:space="preserve"> on the crestal area of the anticline and 10-12</w:t>
      </w:r>
      <w:r w:rsidRPr="00C068DD">
        <w:rPr>
          <w:vertAlign w:val="superscript"/>
        </w:rPr>
        <w:t>0</w:t>
      </w:r>
      <w:r w:rsidR="00455097">
        <w:t xml:space="preserve"> API </w:t>
      </w:r>
      <w:r w:rsidR="00667F02">
        <w:t xml:space="preserve">gravity </w:t>
      </w:r>
      <w:r w:rsidR="00455097">
        <w:t xml:space="preserve">crude on the lower flanks on the anticline. The higher API </w:t>
      </w:r>
      <w:r w:rsidR="00667F02">
        <w:t xml:space="preserve">gravity </w:t>
      </w:r>
      <w:r w:rsidR="00455097">
        <w:t xml:space="preserve">crude </w:t>
      </w:r>
      <w:r>
        <w:t>on the crestal area can be</w:t>
      </w:r>
      <w:r w:rsidR="00455097">
        <w:t xml:space="preserve"> produced commercially </w:t>
      </w:r>
      <w:r>
        <w:t>without the need for</w:t>
      </w:r>
      <w:r w:rsidR="00455097">
        <w:t xml:space="preserve"> thermal </w:t>
      </w:r>
      <w:r>
        <w:t>technolog</w:t>
      </w:r>
      <w:r w:rsidR="0007421D">
        <w:t>ies</w:t>
      </w:r>
      <w:r>
        <w:t xml:space="preserve"> and can provide early cash flow prior to implementation of the advanced thermal </w:t>
      </w:r>
      <w:r w:rsidR="0007421D">
        <w:t>methods</w:t>
      </w:r>
      <w:r w:rsidR="00455097">
        <w:t>.</w:t>
      </w:r>
      <w:r w:rsidR="00AA5BC5">
        <w:t xml:space="preserve"> This benefits cold production in the northern part of Block E whilst the number of wells with superheated steam injection ramps up.</w:t>
      </w:r>
    </w:p>
    <w:p w14:paraId="54A45024" w14:textId="3EA353CA" w:rsidR="00751EAB" w:rsidRDefault="00751EAB" w:rsidP="00E474DC">
      <w:pPr>
        <w:jc w:val="both"/>
      </w:pPr>
    </w:p>
    <w:p w14:paraId="6C9D3336" w14:textId="59E4AE74" w:rsidR="00E502F3" w:rsidRDefault="00751EAB" w:rsidP="00E474DC">
      <w:pPr>
        <w:jc w:val="both"/>
      </w:pPr>
      <w:r>
        <w:t xml:space="preserve">A type log from Well E94 is illustrated in figure </w:t>
      </w:r>
      <w:r w:rsidR="002D75AD">
        <w:t>4</w:t>
      </w:r>
      <w:r>
        <w:t xml:space="preserve"> and shows the blocky gamma-ray log character </w:t>
      </w:r>
      <w:r w:rsidR="00AE0090">
        <w:t>of the Forest Sandstones. Oil-saturated section is readily identified on the resistivity log.</w:t>
      </w:r>
      <w:r w:rsidR="00190DE7">
        <w:t xml:space="preserve"> N</w:t>
      </w:r>
      <w:r w:rsidR="00581E10">
        <w:t>HE</w:t>
      </w:r>
      <w:r w:rsidR="00190DE7">
        <w:t xml:space="preserve"> constructed a map of the net oil sands intersected in the Upper Forest Sandstone the Block E area (figure </w:t>
      </w:r>
      <w:r w:rsidR="002D75AD">
        <w:t>5</w:t>
      </w:r>
      <w:r w:rsidR="00190DE7">
        <w:t xml:space="preserve">). </w:t>
      </w:r>
      <w:r w:rsidR="009242C5">
        <w:t>Petrotrin/Texaco undertook a 30-acre pilot cyclic steam flood in the Upper Forest Sands from 1981-2003 in an area 660’ to the west of Parrylands Block E</w:t>
      </w:r>
      <w:r w:rsidR="00AA5BC5">
        <w:t>,</w:t>
      </w:r>
      <w:r w:rsidR="00DA0B86">
        <w:t xml:space="preserve"> </w:t>
      </w:r>
      <w:r w:rsidR="00F73BE8">
        <w:t xml:space="preserve">2,500’ west of Greenflame’s </w:t>
      </w:r>
      <w:r w:rsidR="00AA5BC5">
        <w:t>southern</w:t>
      </w:r>
      <w:r w:rsidR="00F73BE8">
        <w:t xml:space="preserve"> development</w:t>
      </w:r>
      <w:r w:rsidR="00667F02">
        <w:t xml:space="preserve"> area</w:t>
      </w:r>
      <w:r w:rsidR="00F73BE8">
        <w:t xml:space="preserve"> </w:t>
      </w:r>
      <w:r w:rsidR="00AA5BC5">
        <w:t xml:space="preserve">and 2,650’ from the northern development area </w:t>
      </w:r>
      <w:r w:rsidR="009242C5">
        <w:t xml:space="preserve">(figure </w:t>
      </w:r>
      <w:r w:rsidR="002D75AD">
        <w:t>5</w:t>
      </w:r>
      <w:r w:rsidR="009242C5">
        <w:t xml:space="preserve">). Significantly, </w:t>
      </w:r>
      <w:r w:rsidR="00667F02">
        <w:t>Petrotrin/Texaco</w:t>
      </w:r>
      <w:r w:rsidR="009242C5">
        <w:t xml:space="preserve"> recovered 3 million barrels </w:t>
      </w:r>
      <w:r w:rsidR="00600F5E">
        <w:t>(</w:t>
      </w:r>
      <w:r w:rsidR="009242C5">
        <w:t>MMBO)</w:t>
      </w:r>
      <w:r w:rsidR="00600F5E">
        <w:t>, or almost 50% of the original 6.1 million barrels of oil-in-place</w:t>
      </w:r>
      <w:r w:rsidR="00667F02">
        <w:t xml:space="preserve"> in their 30</w:t>
      </w:r>
      <w:r w:rsidR="00F44B5B">
        <w:t>-</w:t>
      </w:r>
      <w:r w:rsidR="00667F02">
        <w:t>acre pilot area</w:t>
      </w:r>
      <w:r w:rsidR="00600F5E">
        <w:t>.</w:t>
      </w:r>
    </w:p>
    <w:p w14:paraId="49AC6F15" w14:textId="77777777" w:rsidR="00600F5E" w:rsidRDefault="00600F5E" w:rsidP="00E474DC">
      <w:pPr>
        <w:jc w:val="both"/>
      </w:pPr>
    </w:p>
    <w:p w14:paraId="74654647" w14:textId="5524ECDE" w:rsidR="00E502F3" w:rsidRDefault="00E502F3" w:rsidP="00E474DC">
      <w:pPr>
        <w:jc w:val="both"/>
      </w:pPr>
      <w:r>
        <w:rPr>
          <w:noProof/>
        </w:rPr>
        <w:lastRenderedPageBreak/>
        <w:drawing>
          <wp:inline distT="0" distB="0" distL="0" distR="0" wp14:anchorId="049FD2B3" wp14:editId="6A0492F4">
            <wp:extent cx="4386392" cy="3327894"/>
            <wp:effectExtent l="0" t="0" r="0" b="6350"/>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 name="Picture 2094"/>
                    <pic:cNvPicPr/>
                  </pic:nvPicPr>
                  <pic:blipFill>
                    <a:blip r:embed="rId15"/>
                    <a:stretch>
                      <a:fillRect/>
                    </a:stretch>
                  </pic:blipFill>
                  <pic:spPr>
                    <a:xfrm>
                      <a:off x="0" y="0"/>
                      <a:ext cx="4386392" cy="3327894"/>
                    </a:xfrm>
                    <a:prstGeom prst="rect">
                      <a:avLst/>
                    </a:prstGeom>
                  </pic:spPr>
                </pic:pic>
              </a:graphicData>
            </a:graphic>
          </wp:inline>
        </w:drawing>
      </w:r>
    </w:p>
    <w:p w14:paraId="2AAA38B5" w14:textId="2443B1B0" w:rsidR="005916BD" w:rsidRDefault="00E502F3" w:rsidP="00C23144">
      <w:pPr>
        <w:jc w:val="both"/>
      </w:pPr>
      <w:r>
        <w:t xml:space="preserve">Figure </w:t>
      </w:r>
      <w:r w:rsidR="002D75AD">
        <w:t>4</w:t>
      </w:r>
      <w:r>
        <w:t>. Type log (well E94) of the Upper Forest Sandstone at Parrylands Block E.</w:t>
      </w:r>
    </w:p>
    <w:p w14:paraId="40EC2393" w14:textId="3E1D9EFC" w:rsidR="00E502F3" w:rsidRDefault="00E502F3" w:rsidP="00C23144">
      <w:pPr>
        <w:jc w:val="both"/>
      </w:pPr>
    </w:p>
    <w:p w14:paraId="1169088F" w14:textId="70BED5DC" w:rsidR="00E502F3" w:rsidRDefault="00AA5BC5" w:rsidP="00C23144">
      <w:pPr>
        <w:jc w:val="both"/>
      </w:pPr>
      <w:r>
        <w:rPr>
          <w:noProof/>
        </w:rPr>
        <w:lastRenderedPageBreak/>
        <w:drawing>
          <wp:inline distT="0" distB="0" distL="0" distR="0" wp14:anchorId="641F4591" wp14:editId="4D9159F2">
            <wp:extent cx="5731510" cy="7508875"/>
            <wp:effectExtent l="0" t="0" r="2540" b="0"/>
            <wp:docPr id="61" name="Picture 6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p&#10;&#10;Description automatically generated"/>
                    <pic:cNvPicPr/>
                  </pic:nvPicPr>
                  <pic:blipFill>
                    <a:blip r:embed="rId16"/>
                    <a:stretch>
                      <a:fillRect/>
                    </a:stretch>
                  </pic:blipFill>
                  <pic:spPr>
                    <a:xfrm>
                      <a:off x="0" y="0"/>
                      <a:ext cx="5731510" cy="7508875"/>
                    </a:xfrm>
                    <a:prstGeom prst="rect">
                      <a:avLst/>
                    </a:prstGeom>
                  </pic:spPr>
                </pic:pic>
              </a:graphicData>
            </a:graphic>
          </wp:inline>
        </w:drawing>
      </w:r>
    </w:p>
    <w:p w14:paraId="27724CD7" w14:textId="51512C24" w:rsidR="00D14508" w:rsidRPr="00740F50" w:rsidRDefault="009F4858" w:rsidP="009F4858">
      <w:pPr>
        <w:jc w:val="both"/>
      </w:pPr>
      <w:r>
        <w:t xml:space="preserve">Figure </w:t>
      </w:r>
      <w:r w:rsidR="002D75AD">
        <w:t>5</w:t>
      </w:r>
      <w:r>
        <w:t xml:space="preserve">. </w:t>
      </w:r>
      <w:r w:rsidR="00190DE7">
        <w:t>New Horizon’s c</w:t>
      </w:r>
      <w:r>
        <w:t>umulative net oil for the Upper Forest Sandstone at Parrylands Block E. The location of Petrotrin</w:t>
      </w:r>
      <w:r w:rsidR="00371074">
        <w:t>/Texaco’s</w:t>
      </w:r>
      <w:r>
        <w:t xml:space="preserve"> 30-acre steam flood pilot</w:t>
      </w:r>
      <w:r w:rsidR="00E7136A">
        <w:t xml:space="preserve"> and Greenflame’s </w:t>
      </w:r>
      <w:r w:rsidR="00AA5BC5">
        <w:t>northern and southern</w:t>
      </w:r>
      <w:r w:rsidR="00E7136A">
        <w:t xml:space="preserve"> Development Area</w:t>
      </w:r>
      <w:r w:rsidR="00AA5BC5">
        <w:t>s</w:t>
      </w:r>
      <w:r>
        <w:t xml:space="preserve"> is also illustrated.</w:t>
      </w:r>
    </w:p>
    <w:p w14:paraId="563BF854" w14:textId="43D49832" w:rsidR="005916BD" w:rsidRDefault="005916BD" w:rsidP="00C23144">
      <w:pPr>
        <w:jc w:val="both"/>
      </w:pPr>
    </w:p>
    <w:p w14:paraId="786D0331" w14:textId="1D61BD4D" w:rsidR="002C548E" w:rsidRDefault="00924922" w:rsidP="002C548E">
      <w:pPr>
        <w:pStyle w:val="Heading1"/>
      </w:pPr>
      <w:bookmarkStart w:id="8" w:name="_Toc82760755"/>
      <w:bookmarkStart w:id="9" w:name="_Toc109039039"/>
      <w:r>
        <w:lastRenderedPageBreak/>
        <w:t xml:space="preserve">Methodology of </w:t>
      </w:r>
      <w:r w:rsidR="002C548E">
        <w:t>Original Oil in Place Calculation</w:t>
      </w:r>
      <w:bookmarkEnd w:id="8"/>
      <w:bookmarkEnd w:id="9"/>
    </w:p>
    <w:p w14:paraId="0920657E" w14:textId="72A14DDF" w:rsidR="002C548E" w:rsidRDefault="002C548E" w:rsidP="002C548E"/>
    <w:p w14:paraId="666C99A8" w14:textId="77777777" w:rsidR="000B150A" w:rsidRDefault="000B150A" w:rsidP="000B150A">
      <w:pPr>
        <w:jc w:val="both"/>
      </w:pPr>
      <w:r>
        <w:t>Calculation of OOIP utilizes the following straightforward formula (see below) and requires a knowledge of the area and thickness of the heavy oil sand deposit, the porosity of the sand, and the percentage of oil saturation. In addition, there are two conversion factors that bring the oil-in-place calculation to standard conditions (or stock tank barrels). The first is a numerical constant, 7758, that converts acre-ft to stock tank barrels, and the second is the Formation Volume Factor (FVF), a dimensionless number that accounts for the change in oil volume from the reservoir to standard conditions.</w:t>
      </w:r>
    </w:p>
    <w:p w14:paraId="6F4FAF46" w14:textId="77777777" w:rsidR="000B150A" w:rsidRDefault="000B150A" w:rsidP="000B150A">
      <w:pPr>
        <w:jc w:val="both"/>
      </w:pPr>
    </w:p>
    <w:p w14:paraId="5F040A30" w14:textId="77777777" w:rsidR="000B150A" w:rsidRDefault="000B150A" w:rsidP="000B150A">
      <w:pPr>
        <w:jc w:val="both"/>
      </w:pPr>
      <w:r>
        <w:t>The formula for this calculation is:</w:t>
      </w:r>
    </w:p>
    <w:p w14:paraId="3907B3B9" w14:textId="77777777" w:rsidR="000B150A" w:rsidRDefault="000B150A" w:rsidP="000B150A">
      <w:pPr>
        <w:jc w:val="both"/>
      </w:pPr>
      <w:r>
        <w:rPr>
          <w:noProof/>
        </w:rPr>
        <w:drawing>
          <wp:inline distT="0" distB="0" distL="0" distR="0" wp14:anchorId="3DF554FD" wp14:editId="07CA31E0">
            <wp:extent cx="5731510" cy="537210"/>
            <wp:effectExtent l="0" t="0" r="0" b="0"/>
            <wp:docPr id="4" name="Picture 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pic:nvPicPr>
                  <pic:blipFill>
                    <a:blip r:embed="rId17"/>
                    <a:stretch>
                      <a:fillRect/>
                    </a:stretch>
                  </pic:blipFill>
                  <pic:spPr>
                    <a:xfrm>
                      <a:off x="0" y="0"/>
                      <a:ext cx="5731510" cy="537210"/>
                    </a:xfrm>
                    <a:prstGeom prst="rect">
                      <a:avLst/>
                    </a:prstGeom>
                  </pic:spPr>
                </pic:pic>
              </a:graphicData>
            </a:graphic>
          </wp:inline>
        </w:drawing>
      </w:r>
    </w:p>
    <w:p w14:paraId="77868357" w14:textId="77777777" w:rsidR="000B150A" w:rsidRDefault="000B150A" w:rsidP="000B150A">
      <w:pPr>
        <w:jc w:val="both"/>
      </w:pPr>
      <w:r>
        <w:t>Where:</w:t>
      </w:r>
    </w:p>
    <w:p w14:paraId="7E699737" w14:textId="77777777" w:rsidR="000B150A" w:rsidRDefault="000B150A" w:rsidP="00C33AC1">
      <w:pPr>
        <w:pStyle w:val="ListParagraph"/>
        <w:numPr>
          <w:ilvl w:val="0"/>
          <w:numId w:val="1"/>
        </w:numPr>
        <w:jc w:val="both"/>
      </w:pPr>
      <w:r>
        <w:t>OOIP = Original Oil in Place in barrels</w:t>
      </w:r>
    </w:p>
    <w:p w14:paraId="33DB0780" w14:textId="77777777" w:rsidR="000B150A" w:rsidRDefault="000B150A" w:rsidP="00C33AC1">
      <w:pPr>
        <w:pStyle w:val="ListParagraph"/>
        <w:numPr>
          <w:ilvl w:val="0"/>
          <w:numId w:val="1"/>
        </w:numPr>
        <w:jc w:val="both"/>
      </w:pPr>
      <w:r>
        <w:t>Area in acres</w:t>
      </w:r>
    </w:p>
    <w:p w14:paraId="74BB9057" w14:textId="77777777" w:rsidR="000B150A" w:rsidRDefault="000B150A" w:rsidP="00C33AC1">
      <w:pPr>
        <w:pStyle w:val="ListParagraph"/>
        <w:numPr>
          <w:ilvl w:val="0"/>
          <w:numId w:val="1"/>
        </w:numPr>
        <w:jc w:val="both"/>
      </w:pPr>
      <w:r>
        <w:t>Thickness in feet</w:t>
      </w:r>
    </w:p>
    <w:p w14:paraId="5A9D4773" w14:textId="77777777" w:rsidR="000B150A" w:rsidRDefault="000B150A" w:rsidP="00C33AC1">
      <w:pPr>
        <w:pStyle w:val="ListParagraph"/>
        <w:numPr>
          <w:ilvl w:val="0"/>
          <w:numId w:val="1"/>
        </w:numPr>
        <w:jc w:val="both"/>
      </w:pPr>
      <w:r>
        <w:t>Porosity expressed as a decimal</w:t>
      </w:r>
    </w:p>
    <w:p w14:paraId="5ECAEBB4" w14:textId="77777777" w:rsidR="000B150A" w:rsidRDefault="000B150A" w:rsidP="00C33AC1">
      <w:pPr>
        <w:pStyle w:val="ListParagraph"/>
        <w:numPr>
          <w:ilvl w:val="0"/>
          <w:numId w:val="1"/>
        </w:numPr>
        <w:jc w:val="both"/>
      </w:pPr>
      <w:r>
        <w:t>Oil saturation = 1- Sw (Water Saturation) expressed as a decimal</w:t>
      </w:r>
    </w:p>
    <w:p w14:paraId="29C14BEF" w14:textId="77777777" w:rsidR="000B150A" w:rsidRDefault="000B150A" w:rsidP="00C33AC1">
      <w:pPr>
        <w:pStyle w:val="ListParagraph"/>
        <w:numPr>
          <w:ilvl w:val="0"/>
          <w:numId w:val="1"/>
        </w:numPr>
        <w:jc w:val="both"/>
      </w:pPr>
      <w:r>
        <w:t>Formation Volume Factor is FVF, a dimensionless number</w:t>
      </w:r>
    </w:p>
    <w:p w14:paraId="49FEA49B" w14:textId="77777777" w:rsidR="002C548E" w:rsidRDefault="002C548E" w:rsidP="002C548E">
      <w:pPr>
        <w:jc w:val="both"/>
      </w:pPr>
    </w:p>
    <w:p w14:paraId="48FD9E7B" w14:textId="70492D74" w:rsidR="002C548E" w:rsidRDefault="002C548E" w:rsidP="002C548E">
      <w:pPr>
        <w:pStyle w:val="Heading3"/>
      </w:pPr>
      <w:bookmarkStart w:id="10" w:name="_Toc82760756"/>
      <w:bookmarkStart w:id="11" w:name="_Toc109039040"/>
      <w:r>
        <w:t xml:space="preserve">Mapping </w:t>
      </w:r>
      <w:r w:rsidR="00E94ECB">
        <w:t>Net Pay Thickness</w:t>
      </w:r>
      <w:bookmarkEnd w:id="10"/>
      <w:bookmarkEnd w:id="11"/>
    </w:p>
    <w:p w14:paraId="44B5BC29" w14:textId="77777777" w:rsidR="002C548E" w:rsidRDefault="002C548E" w:rsidP="002C548E"/>
    <w:p w14:paraId="6D33A277" w14:textId="01110CDF" w:rsidR="00320FA0" w:rsidRDefault="00320FA0" w:rsidP="00193A9E">
      <w:pPr>
        <w:jc w:val="both"/>
        <w:rPr>
          <w:color w:val="000000" w:themeColor="text1"/>
        </w:rPr>
      </w:pPr>
      <w:r>
        <w:rPr>
          <w:color w:val="000000" w:themeColor="text1"/>
        </w:rPr>
        <w:t>N</w:t>
      </w:r>
      <w:r w:rsidR="00B265A1">
        <w:rPr>
          <w:color w:val="000000" w:themeColor="text1"/>
        </w:rPr>
        <w:t>HE</w:t>
      </w:r>
      <w:r>
        <w:rPr>
          <w:color w:val="000000" w:themeColor="text1"/>
        </w:rPr>
        <w:t xml:space="preserve"> constructed a Cumulative Net Oil Sand map for the Forest A Sandstone based on logs provided by Petrotrin for Block E (figure </w:t>
      </w:r>
      <w:r w:rsidR="00373C41">
        <w:rPr>
          <w:color w:val="000000" w:themeColor="text1"/>
        </w:rPr>
        <w:t>5</w:t>
      </w:r>
      <w:r>
        <w:rPr>
          <w:color w:val="000000" w:themeColor="text1"/>
        </w:rPr>
        <w:t xml:space="preserve">). </w:t>
      </w:r>
      <w:r w:rsidR="005564E4">
        <w:rPr>
          <w:color w:val="000000" w:themeColor="text1"/>
        </w:rPr>
        <w:t xml:space="preserve">The Forest A Sandstones are blocky in gamma-ray log character and there is a clear demarcation between oil-saturated and water-saturated </w:t>
      </w:r>
      <w:r w:rsidR="0090452F">
        <w:rPr>
          <w:color w:val="000000" w:themeColor="text1"/>
        </w:rPr>
        <w:t xml:space="preserve">sands </w:t>
      </w:r>
      <w:r w:rsidR="005564E4">
        <w:rPr>
          <w:color w:val="000000" w:themeColor="text1"/>
        </w:rPr>
        <w:t xml:space="preserve">on the resistivity log (figure </w:t>
      </w:r>
      <w:r w:rsidR="00373C41">
        <w:rPr>
          <w:color w:val="000000" w:themeColor="text1"/>
        </w:rPr>
        <w:t>6</w:t>
      </w:r>
      <w:r w:rsidR="005564E4">
        <w:rPr>
          <w:color w:val="000000" w:themeColor="text1"/>
        </w:rPr>
        <w:t>)</w:t>
      </w:r>
      <w:r w:rsidR="006E4FA3">
        <w:rPr>
          <w:color w:val="000000" w:themeColor="text1"/>
        </w:rPr>
        <w:t xml:space="preserve"> and that intervals with a resistivity of less than 5 ohm.m is generally non-productive</w:t>
      </w:r>
      <w:r w:rsidR="005564E4">
        <w:rPr>
          <w:color w:val="000000" w:themeColor="text1"/>
        </w:rPr>
        <w:t xml:space="preserve">. </w:t>
      </w:r>
      <w:r w:rsidR="0090452F">
        <w:rPr>
          <w:color w:val="000000" w:themeColor="text1"/>
        </w:rPr>
        <w:t>As a result of the gamma-ray and resistivity log characters of the Forest A Sandstone</w:t>
      </w:r>
      <w:r w:rsidR="00F61F00">
        <w:rPr>
          <w:color w:val="000000" w:themeColor="text1"/>
        </w:rPr>
        <w:t>, the audit in this report focused on defining net pay</w:t>
      </w:r>
      <w:r w:rsidR="00CD6999">
        <w:rPr>
          <w:color w:val="000000" w:themeColor="text1"/>
        </w:rPr>
        <w:t xml:space="preserve"> u</w:t>
      </w:r>
      <w:r w:rsidR="00BD7908">
        <w:rPr>
          <w:color w:val="000000" w:themeColor="text1"/>
        </w:rPr>
        <w:t>sing</w:t>
      </w:r>
      <w:r w:rsidR="00CD6999">
        <w:rPr>
          <w:color w:val="000000" w:themeColor="text1"/>
        </w:rPr>
        <w:t xml:space="preserve"> the resistivity log</w:t>
      </w:r>
      <w:r w:rsidR="00F61F00">
        <w:rPr>
          <w:color w:val="000000" w:themeColor="text1"/>
        </w:rPr>
        <w:t xml:space="preserve">. </w:t>
      </w:r>
    </w:p>
    <w:p w14:paraId="46B88CC5" w14:textId="77777777" w:rsidR="0090452F" w:rsidRDefault="0090452F" w:rsidP="00193A9E">
      <w:pPr>
        <w:jc w:val="both"/>
        <w:rPr>
          <w:color w:val="000000" w:themeColor="text1"/>
        </w:rPr>
      </w:pPr>
    </w:p>
    <w:p w14:paraId="1DF67520" w14:textId="74F75F16" w:rsidR="005564E4" w:rsidRDefault="00DE2755" w:rsidP="00193A9E">
      <w:pPr>
        <w:jc w:val="both"/>
        <w:rPr>
          <w:color w:val="000000" w:themeColor="text1"/>
        </w:rPr>
      </w:pPr>
      <w:r>
        <w:rPr>
          <w:noProof/>
          <w:color w:val="000000" w:themeColor="text1"/>
        </w:rPr>
        <w:lastRenderedPageBreak/>
        <w:drawing>
          <wp:inline distT="0" distB="0" distL="0" distR="0" wp14:anchorId="5107BF4F" wp14:editId="25D1A198">
            <wp:extent cx="2242800" cy="7203600"/>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8"/>
                    <a:stretch>
                      <a:fillRect/>
                    </a:stretch>
                  </pic:blipFill>
                  <pic:spPr>
                    <a:xfrm>
                      <a:off x="0" y="0"/>
                      <a:ext cx="2242800" cy="7203600"/>
                    </a:xfrm>
                    <a:prstGeom prst="rect">
                      <a:avLst/>
                    </a:prstGeom>
                  </pic:spPr>
                </pic:pic>
              </a:graphicData>
            </a:graphic>
          </wp:inline>
        </w:drawing>
      </w:r>
    </w:p>
    <w:p w14:paraId="0FEC2338" w14:textId="146A2E6D" w:rsidR="005564E4" w:rsidRDefault="005564E4" w:rsidP="005564E4">
      <w:pPr>
        <w:jc w:val="both"/>
      </w:pPr>
      <w:r>
        <w:t xml:space="preserve">Figure </w:t>
      </w:r>
      <w:r w:rsidR="00373C41">
        <w:t>6</w:t>
      </w:r>
      <w:r>
        <w:t>. Calculation of net oil sandstone from geophysical well log data.</w:t>
      </w:r>
    </w:p>
    <w:p w14:paraId="5F490906" w14:textId="77777777" w:rsidR="005564E4" w:rsidRDefault="005564E4" w:rsidP="00193A9E">
      <w:pPr>
        <w:jc w:val="both"/>
        <w:rPr>
          <w:color w:val="000000" w:themeColor="text1"/>
        </w:rPr>
      </w:pPr>
    </w:p>
    <w:p w14:paraId="7E51996E" w14:textId="098148F0" w:rsidR="00832F3B" w:rsidRDefault="00CD6999" w:rsidP="00832F3B">
      <w:pPr>
        <w:jc w:val="both"/>
      </w:pPr>
      <w:r>
        <w:t>In total there were</w:t>
      </w:r>
      <w:r w:rsidR="00F61F00">
        <w:t xml:space="preserve"> </w:t>
      </w:r>
      <w:r w:rsidR="00541AAF">
        <w:t>3</w:t>
      </w:r>
      <w:r w:rsidR="00832F3B">
        <w:t>0</w:t>
      </w:r>
      <w:r w:rsidR="00F61F00">
        <w:t xml:space="preserve"> wells</w:t>
      </w:r>
      <w:r w:rsidR="00541AAF">
        <w:t xml:space="preserve"> provided by N</w:t>
      </w:r>
      <w:r w:rsidR="00B265A1">
        <w:t>HE</w:t>
      </w:r>
      <w:r w:rsidR="00F61F00">
        <w:t xml:space="preserve"> </w:t>
      </w:r>
      <w:r w:rsidR="00541AAF">
        <w:t>from</w:t>
      </w:r>
      <w:r w:rsidR="00F61F00">
        <w:t xml:space="preserve"> the southern half of Block E</w:t>
      </w:r>
      <w:r w:rsidR="00DE2755">
        <w:t xml:space="preserve"> </w:t>
      </w:r>
      <w:r w:rsidR="00BD7908">
        <w:t xml:space="preserve">(figure </w:t>
      </w:r>
      <w:r w:rsidR="00373C41">
        <w:t>7</w:t>
      </w:r>
      <w:r w:rsidR="00BD7908">
        <w:t xml:space="preserve"> and Appendix 1) </w:t>
      </w:r>
      <w:r>
        <w:t>that were utilized for auditing the Net Pay Map</w:t>
      </w:r>
      <w:r w:rsidR="00541AAF">
        <w:t>.</w:t>
      </w:r>
      <w:r w:rsidR="00832F3B">
        <w:t xml:space="preserve"> Once calculated, the net pay values were then plotted on the Upper Forest cumulative net oil map and compared with the surrounding contour values (figure </w:t>
      </w:r>
      <w:r w:rsidR="00373C41">
        <w:t>8</w:t>
      </w:r>
      <w:r w:rsidR="00832F3B">
        <w:t>).</w:t>
      </w:r>
    </w:p>
    <w:p w14:paraId="2DC6E515" w14:textId="587E69CB" w:rsidR="00E94ECB" w:rsidRDefault="00E94ECB" w:rsidP="00193A9E">
      <w:pPr>
        <w:jc w:val="both"/>
      </w:pPr>
    </w:p>
    <w:p w14:paraId="04AD7561" w14:textId="7F7842A0" w:rsidR="00E94ECB" w:rsidRDefault="00270272" w:rsidP="00193A9E">
      <w:pPr>
        <w:jc w:val="both"/>
      </w:pPr>
      <w:r>
        <w:rPr>
          <w:noProof/>
        </w:rPr>
        <w:drawing>
          <wp:inline distT="0" distB="0" distL="0" distR="0" wp14:anchorId="43A0F4A1" wp14:editId="33E74BF2">
            <wp:extent cx="5156712" cy="5395012"/>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9"/>
                    <a:stretch>
                      <a:fillRect/>
                    </a:stretch>
                  </pic:blipFill>
                  <pic:spPr>
                    <a:xfrm>
                      <a:off x="0" y="0"/>
                      <a:ext cx="5156712" cy="5395012"/>
                    </a:xfrm>
                    <a:prstGeom prst="rect">
                      <a:avLst/>
                    </a:prstGeom>
                  </pic:spPr>
                </pic:pic>
              </a:graphicData>
            </a:graphic>
          </wp:inline>
        </w:drawing>
      </w:r>
    </w:p>
    <w:p w14:paraId="658793E0" w14:textId="3DA5784B" w:rsidR="00F61F00" w:rsidRDefault="00E94ECB" w:rsidP="00193A9E">
      <w:pPr>
        <w:jc w:val="both"/>
      </w:pPr>
      <w:r>
        <w:t xml:space="preserve">Figure </w:t>
      </w:r>
      <w:r w:rsidR="00373C41">
        <w:t>7</w:t>
      </w:r>
      <w:r>
        <w:t xml:space="preserve">. </w:t>
      </w:r>
      <w:r w:rsidR="00270272">
        <w:t>Net pay audit area consisting of 3</w:t>
      </w:r>
      <w:r w:rsidR="00832F3B">
        <w:t>0</w:t>
      </w:r>
      <w:r w:rsidR="00270272">
        <w:t xml:space="preserve"> wells distributed across the southern half of Block E.</w:t>
      </w:r>
    </w:p>
    <w:p w14:paraId="12549948" w14:textId="77777777" w:rsidR="00006DFD" w:rsidRDefault="00006DFD" w:rsidP="008F07E6">
      <w:pPr>
        <w:jc w:val="both"/>
      </w:pPr>
    </w:p>
    <w:p w14:paraId="2FB056F0" w14:textId="21008052" w:rsidR="00A80178" w:rsidRDefault="00CA0A7F" w:rsidP="008F07E6">
      <w:pPr>
        <w:jc w:val="both"/>
      </w:pPr>
      <w:r>
        <w:t xml:space="preserve">There is a very good relationship between the major sand-rich fairway defined by the contour trends and the net pay values calculated from the audit wells. </w:t>
      </w:r>
      <w:r w:rsidR="00006DFD">
        <w:t>There are</w:t>
      </w:r>
      <w:r>
        <w:t>,</w:t>
      </w:r>
      <w:r w:rsidR="00006DFD">
        <w:t xml:space="preserve"> </w:t>
      </w:r>
      <w:r w:rsidR="001376D3">
        <w:t xml:space="preserve">however, </w:t>
      </w:r>
      <w:r w:rsidR="00832F3B">
        <w:t>a couple of</w:t>
      </w:r>
      <w:r w:rsidR="008F2F43">
        <w:t xml:space="preserve"> discrepancies</w:t>
      </w:r>
      <w:r w:rsidR="00006DFD">
        <w:t xml:space="preserve"> between the audit wells and the net </w:t>
      </w:r>
      <w:r w:rsidR="005E30F3">
        <w:t>pay</w:t>
      </w:r>
      <w:r w:rsidR="00006DFD">
        <w:t xml:space="preserve"> map</w:t>
      </w:r>
      <w:r w:rsidR="001376D3">
        <w:t xml:space="preserve"> both over and underestimating net </w:t>
      </w:r>
      <w:r w:rsidR="005E30F3">
        <w:t>pay</w:t>
      </w:r>
      <w:r w:rsidR="001376D3">
        <w:t xml:space="preserve"> thickness</w:t>
      </w:r>
      <w:r w:rsidR="00006DFD">
        <w:t xml:space="preserve">. The net </w:t>
      </w:r>
      <w:r w:rsidR="005E30F3">
        <w:t>pay</w:t>
      </w:r>
      <w:r w:rsidR="00006DFD">
        <w:t xml:space="preserve"> calculated for Audit Well </w:t>
      </w:r>
      <w:r w:rsidR="005E30F3">
        <w:t>PAE 274</w:t>
      </w:r>
      <w:r w:rsidR="00006DFD">
        <w:t xml:space="preserve"> for example is </w:t>
      </w:r>
      <w:r w:rsidR="005E30F3">
        <w:t>215</w:t>
      </w:r>
      <w:r w:rsidR="00006DFD">
        <w:t xml:space="preserve">’ but this well lies on the </w:t>
      </w:r>
      <w:r w:rsidR="005E30F3">
        <w:t>15</w:t>
      </w:r>
      <w:r w:rsidR="00006DFD">
        <w:t xml:space="preserve">0’ contour of the net </w:t>
      </w:r>
      <w:r w:rsidR="00360748">
        <w:t>pay</w:t>
      </w:r>
      <w:r w:rsidR="00006DFD">
        <w:t xml:space="preserve"> map. </w:t>
      </w:r>
      <w:r w:rsidR="00335553">
        <w:t>Similarly</w:t>
      </w:r>
      <w:r w:rsidR="009B67FA">
        <w:t>,</w:t>
      </w:r>
      <w:r w:rsidR="006C6AFE">
        <w:t xml:space="preserve"> </w:t>
      </w:r>
      <w:r w:rsidR="001376D3">
        <w:t>although</w:t>
      </w:r>
      <w:r w:rsidR="006C6AFE">
        <w:t xml:space="preserve"> in the opposite direction</w:t>
      </w:r>
      <w:r w:rsidR="00335553">
        <w:t xml:space="preserve">, net </w:t>
      </w:r>
      <w:r w:rsidR="00360748">
        <w:t>pay</w:t>
      </w:r>
      <w:r w:rsidR="00335553">
        <w:t xml:space="preserve"> calculated for Audit Well </w:t>
      </w:r>
      <w:r w:rsidR="00360748">
        <w:t>PAE 291</w:t>
      </w:r>
      <w:r w:rsidR="00335553">
        <w:t xml:space="preserve"> is </w:t>
      </w:r>
      <w:r w:rsidR="00360748">
        <w:t>118</w:t>
      </w:r>
      <w:r w:rsidR="00335553">
        <w:t>’</w:t>
      </w:r>
      <w:r w:rsidR="001376D3">
        <w:t xml:space="preserve"> but</w:t>
      </w:r>
      <w:r w:rsidR="00335553">
        <w:t xml:space="preserve"> this well lies </w:t>
      </w:r>
      <w:r w:rsidR="00360748">
        <w:t xml:space="preserve">between the 150’ and 200’ contour on </w:t>
      </w:r>
      <w:r w:rsidR="00335553">
        <w:t xml:space="preserve">the net </w:t>
      </w:r>
      <w:r w:rsidR="00360748">
        <w:t>pay</w:t>
      </w:r>
      <w:r w:rsidR="00335553">
        <w:t xml:space="preserve"> map.</w:t>
      </w:r>
    </w:p>
    <w:p w14:paraId="639B7F6E" w14:textId="56DC5E25" w:rsidR="00A80178" w:rsidRDefault="00A80178" w:rsidP="008F07E6">
      <w:pPr>
        <w:jc w:val="both"/>
      </w:pPr>
    </w:p>
    <w:p w14:paraId="5F14862F" w14:textId="316CA3A0" w:rsidR="00A80178" w:rsidRDefault="00A80178" w:rsidP="008F07E6">
      <w:pPr>
        <w:jc w:val="both"/>
      </w:pPr>
      <w:r>
        <w:rPr>
          <w:noProof/>
        </w:rPr>
        <w:lastRenderedPageBreak/>
        <w:drawing>
          <wp:inline distT="0" distB="0" distL="0" distR="0" wp14:anchorId="2FCDEFD7" wp14:editId="0A76E639">
            <wp:extent cx="4219200" cy="792360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0"/>
                    <a:stretch>
                      <a:fillRect/>
                    </a:stretch>
                  </pic:blipFill>
                  <pic:spPr>
                    <a:xfrm>
                      <a:off x="0" y="0"/>
                      <a:ext cx="4219200" cy="7923600"/>
                    </a:xfrm>
                    <a:prstGeom prst="rect">
                      <a:avLst/>
                    </a:prstGeom>
                  </pic:spPr>
                </pic:pic>
              </a:graphicData>
            </a:graphic>
          </wp:inline>
        </w:drawing>
      </w:r>
    </w:p>
    <w:p w14:paraId="024A891E" w14:textId="5E3CEB78" w:rsidR="00A80178" w:rsidRDefault="00A80178" w:rsidP="008F07E6">
      <w:pPr>
        <w:jc w:val="both"/>
      </w:pPr>
      <w:r>
        <w:t xml:space="preserve">Figure </w:t>
      </w:r>
      <w:r w:rsidR="00373C41">
        <w:t>8</w:t>
      </w:r>
      <w:r>
        <w:t>.</w:t>
      </w:r>
      <w:r w:rsidR="00CF007B">
        <w:t xml:space="preserve"> Comparison of net pay from the audit wells and NHE’s contoured net pay map.</w:t>
      </w:r>
    </w:p>
    <w:p w14:paraId="07AC9A76" w14:textId="77777777" w:rsidR="00A80178" w:rsidRDefault="00A80178" w:rsidP="008F07E6">
      <w:pPr>
        <w:jc w:val="both"/>
      </w:pPr>
    </w:p>
    <w:p w14:paraId="6FD14B5A" w14:textId="03AE57DE" w:rsidR="00CA0A7F" w:rsidRDefault="009B67FA" w:rsidP="008F07E6">
      <w:pPr>
        <w:jc w:val="both"/>
      </w:pPr>
      <w:r>
        <w:lastRenderedPageBreak/>
        <w:t xml:space="preserve">A comparison of net </w:t>
      </w:r>
      <w:r w:rsidR="00360748">
        <w:t>pay</w:t>
      </w:r>
      <w:r>
        <w:t xml:space="preserve"> calculated from the audit wells and net </w:t>
      </w:r>
      <w:r w:rsidR="00360748">
        <w:t>pay</w:t>
      </w:r>
      <w:r w:rsidR="008459FD">
        <w:t xml:space="preserve"> defined by the</w:t>
      </w:r>
      <w:r>
        <w:t xml:space="preserve"> map</w:t>
      </w:r>
      <w:r w:rsidR="008459FD">
        <w:t xml:space="preserve"> contours</w:t>
      </w:r>
      <w:r>
        <w:t xml:space="preserve"> was therefore compiled in</w:t>
      </w:r>
      <w:r w:rsidR="001376D3">
        <w:t>to</w:t>
      </w:r>
      <w:r>
        <w:t xml:space="preserve"> a spreadsheet </w:t>
      </w:r>
      <w:r w:rsidR="001376D3">
        <w:t xml:space="preserve">to quantify the </w:t>
      </w:r>
      <w:r w:rsidR="008459FD">
        <w:t xml:space="preserve">difference between net </w:t>
      </w:r>
      <w:r w:rsidR="00360748">
        <w:t>pay</w:t>
      </w:r>
      <w:r w:rsidR="008459FD">
        <w:t xml:space="preserve"> on the map and net </w:t>
      </w:r>
      <w:r w:rsidR="00360748">
        <w:t>pay</w:t>
      </w:r>
      <w:r w:rsidR="008459FD">
        <w:t xml:space="preserve"> in the audit </w:t>
      </w:r>
      <w:r w:rsidR="008459FD" w:rsidRPr="00891E11">
        <w:t xml:space="preserve">wells (table </w:t>
      </w:r>
      <w:r w:rsidR="00E32605" w:rsidRPr="00891E11">
        <w:t>1</w:t>
      </w:r>
      <w:r w:rsidR="008459FD" w:rsidRPr="00891E11">
        <w:t>).</w:t>
      </w:r>
      <w:r w:rsidR="008459FD">
        <w:t xml:space="preserve"> Calculated net </w:t>
      </w:r>
      <w:r w:rsidR="00360748">
        <w:t>pay</w:t>
      </w:r>
      <w:r w:rsidR="008459FD">
        <w:t xml:space="preserve"> </w:t>
      </w:r>
      <w:r w:rsidR="008459FD" w:rsidRPr="004373A4">
        <w:t xml:space="preserve">from </w:t>
      </w:r>
      <w:r w:rsidR="004373A4" w:rsidRPr="004373A4">
        <w:t>6</w:t>
      </w:r>
      <w:r w:rsidR="008459FD" w:rsidRPr="004373A4">
        <w:t xml:space="preserve"> of the </w:t>
      </w:r>
      <w:r w:rsidR="004373A4" w:rsidRPr="004373A4">
        <w:t>30</w:t>
      </w:r>
      <w:r w:rsidR="008459FD" w:rsidRPr="004373A4">
        <w:t xml:space="preserve"> audit wells matched</w:t>
      </w:r>
      <w:r w:rsidR="00B961CB" w:rsidRPr="004373A4">
        <w:t>/equalled</w:t>
      </w:r>
      <w:r w:rsidR="008459FD" w:rsidRPr="004373A4">
        <w:t xml:space="preserve"> the net </w:t>
      </w:r>
      <w:r w:rsidR="00360748" w:rsidRPr="004373A4">
        <w:t>pay</w:t>
      </w:r>
      <w:r w:rsidR="008459FD" w:rsidRPr="004373A4">
        <w:t xml:space="preserve"> map and a further 1</w:t>
      </w:r>
      <w:r w:rsidR="004373A4" w:rsidRPr="004373A4">
        <w:t>4</w:t>
      </w:r>
      <w:r w:rsidR="008459FD" w:rsidRPr="004373A4">
        <w:t xml:space="preserve"> audit wells had </w:t>
      </w:r>
      <w:r w:rsidR="00B961CB" w:rsidRPr="004373A4">
        <w:t xml:space="preserve">net </w:t>
      </w:r>
      <w:r w:rsidR="00360748" w:rsidRPr="004373A4">
        <w:t>pay</w:t>
      </w:r>
      <w:r w:rsidR="00B961CB" w:rsidRPr="004373A4">
        <w:t xml:space="preserve"> </w:t>
      </w:r>
      <w:r w:rsidR="008459FD" w:rsidRPr="004373A4">
        <w:t>thicker than contoured on the map. In other words</w:t>
      </w:r>
      <w:r w:rsidR="00B961CB" w:rsidRPr="004373A4">
        <w:t>,</w:t>
      </w:r>
      <w:r w:rsidR="008459FD" w:rsidRPr="004373A4">
        <w:t xml:space="preserve"> </w:t>
      </w:r>
      <w:r w:rsidR="004373A4" w:rsidRPr="004373A4">
        <w:t>66</w:t>
      </w:r>
      <w:r w:rsidR="00B961CB" w:rsidRPr="004373A4">
        <w:t>% (</w:t>
      </w:r>
      <w:r w:rsidR="004373A4" w:rsidRPr="004373A4">
        <w:t>20</w:t>
      </w:r>
      <w:r w:rsidR="00B961CB" w:rsidRPr="004373A4">
        <w:t>/</w:t>
      </w:r>
      <w:r w:rsidR="004373A4" w:rsidRPr="004373A4">
        <w:t>30</w:t>
      </w:r>
      <w:r w:rsidR="00B961CB" w:rsidRPr="004373A4">
        <w:t xml:space="preserve">) of the audit wells had net </w:t>
      </w:r>
      <w:r w:rsidR="00360748" w:rsidRPr="004373A4">
        <w:t>pay</w:t>
      </w:r>
      <w:r w:rsidR="00B961CB" w:rsidRPr="004373A4">
        <w:t xml:space="preserve"> thickness equal to or </w:t>
      </w:r>
      <w:r w:rsidR="001711A1" w:rsidRPr="004373A4">
        <w:t>greater</w:t>
      </w:r>
      <w:r w:rsidR="00B961CB" w:rsidRPr="004373A4">
        <w:t xml:space="preserve"> than the contoured net </w:t>
      </w:r>
      <w:r w:rsidR="00360748" w:rsidRPr="004373A4">
        <w:t>pay</w:t>
      </w:r>
      <w:r w:rsidR="00B961CB" w:rsidRPr="004373A4">
        <w:t xml:space="preserve">. </w:t>
      </w:r>
      <w:r w:rsidR="001711A1" w:rsidRPr="004373A4">
        <w:t>Of the 1</w:t>
      </w:r>
      <w:r w:rsidR="004373A4" w:rsidRPr="004373A4">
        <w:t>0</w:t>
      </w:r>
      <w:r w:rsidR="001711A1" w:rsidRPr="004373A4">
        <w:t xml:space="preserve"> audit wells that recorded less net </w:t>
      </w:r>
      <w:r w:rsidR="00360748" w:rsidRPr="004373A4">
        <w:t>pay</w:t>
      </w:r>
      <w:r w:rsidR="001711A1" w:rsidRPr="004373A4">
        <w:t xml:space="preserve"> thickness than the contoured map, </w:t>
      </w:r>
      <w:r w:rsidR="004373A4" w:rsidRPr="004373A4">
        <w:t>three</w:t>
      </w:r>
      <w:r w:rsidR="001711A1" w:rsidRPr="004373A4">
        <w:t xml:space="preserve"> </w:t>
      </w:r>
      <w:r w:rsidR="00B961CB" w:rsidRPr="004373A4">
        <w:t xml:space="preserve">had a net </w:t>
      </w:r>
      <w:r w:rsidR="00360748" w:rsidRPr="004373A4">
        <w:t>pay</w:t>
      </w:r>
      <w:r w:rsidR="00B961CB" w:rsidRPr="004373A4">
        <w:t xml:space="preserve"> thickness at least 90% of the value contoured on the map.</w:t>
      </w:r>
      <w:r w:rsidR="008459FD" w:rsidRPr="004373A4">
        <w:t xml:space="preserve"> </w:t>
      </w:r>
      <w:r w:rsidR="001711A1" w:rsidRPr="004373A4">
        <w:t xml:space="preserve">Thus </w:t>
      </w:r>
      <w:r w:rsidR="004373A4" w:rsidRPr="004373A4">
        <w:t>7</w:t>
      </w:r>
      <w:r w:rsidR="001711A1" w:rsidRPr="004373A4">
        <w:t xml:space="preserve">7% of the audit wells </w:t>
      </w:r>
      <w:r w:rsidR="004110EF" w:rsidRPr="004373A4">
        <w:t xml:space="preserve">had net </w:t>
      </w:r>
      <w:r w:rsidR="00360748" w:rsidRPr="004373A4">
        <w:t>pay</w:t>
      </w:r>
      <w:r w:rsidR="004110EF" w:rsidRPr="004373A4">
        <w:t xml:space="preserve"> either equal to, greater than, or within 10% of the contoured value on the net </w:t>
      </w:r>
      <w:r w:rsidR="00360748" w:rsidRPr="004373A4">
        <w:t>pay</w:t>
      </w:r>
      <w:r w:rsidR="004110EF" w:rsidRPr="004373A4">
        <w:t xml:space="preserve"> map</w:t>
      </w:r>
      <w:r w:rsidR="004110EF" w:rsidRPr="00CA0A7F">
        <w:t xml:space="preserve">. There were only </w:t>
      </w:r>
      <w:r w:rsidR="004373A4" w:rsidRPr="00CA0A7F">
        <w:t>2</w:t>
      </w:r>
      <w:r w:rsidR="004110EF" w:rsidRPr="00CA0A7F">
        <w:t xml:space="preserve"> audit wells (</w:t>
      </w:r>
      <w:r w:rsidR="004373A4" w:rsidRPr="00CA0A7F">
        <w:t>PAE 275 and 291</w:t>
      </w:r>
      <w:r w:rsidR="004110EF" w:rsidRPr="00CA0A7F">
        <w:t xml:space="preserve">) that had anomalously low net </w:t>
      </w:r>
      <w:r w:rsidR="00360748" w:rsidRPr="00CA0A7F">
        <w:t>pay</w:t>
      </w:r>
      <w:r w:rsidR="004110EF" w:rsidRPr="00CA0A7F">
        <w:t xml:space="preserve"> thicknesses relative to the map, but more audit wells (</w:t>
      </w:r>
      <w:r w:rsidR="004373A4" w:rsidRPr="00CA0A7F">
        <w:t>PAE 267</w:t>
      </w:r>
      <w:r w:rsidR="00CA0A7F" w:rsidRPr="00CA0A7F">
        <w:t>, 274, 294</w:t>
      </w:r>
      <w:r w:rsidR="00757AD5" w:rsidRPr="00CA0A7F">
        <w:t xml:space="preserve">) that had anomalously high net </w:t>
      </w:r>
      <w:r w:rsidR="00360748" w:rsidRPr="00CA0A7F">
        <w:t>pay</w:t>
      </w:r>
      <w:r w:rsidR="00757AD5" w:rsidRPr="00CA0A7F">
        <w:t xml:space="preserve"> thickness relative to the map.</w:t>
      </w:r>
    </w:p>
    <w:p w14:paraId="526D9F90" w14:textId="77777777" w:rsidR="00A80178" w:rsidRDefault="00A80178" w:rsidP="008F07E6">
      <w:pPr>
        <w:jc w:val="both"/>
      </w:pPr>
    </w:p>
    <w:p w14:paraId="6BB463EA" w14:textId="5A045AD9" w:rsidR="00FD20EF" w:rsidRDefault="00832F3B" w:rsidP="008F07E6">
      <w:pPr>
        <w:jc w:val="both"/>
      </w:pPr>
      <w:r w:rsidRPr="00170764">
        <w:rPr>
          <w:noProof/>
        </w:rPr>
        <w:drawing>
          <wp:inline distT="0" distB="0" distL="0" distR="0" wp14:anchorId="796500F3" wp14:editId="528F2ED4">
            <wp:extent cx="4197600" cy="5432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97600" cy="5432400"/>
                    </a:xfrm>
                    <a:prstGeom prst="rect">
                      <a:avLst/>
                    </a:prstGeom>
                    <a:noFill/>
                    <a:ln>
                      <a:noFill/>
                    </a:ln>
                  </pic:spPr>
                </pic:pic>
              </a:graphicData>
            </a:graphic>
          </wp:inline>
        </w:drawing>
      </w:r>
    </w:p>
    <w:p w14:paraId="3F7881B6" w14:textId="21432F41" w:rsidR="003A226E" w:rsidRDefault="003A226E" w:rsidP="003A226E">
      <w:pPr>
        <w:jc w:val="both"/>
      </w:pPr>
      <w:r w:rsidRPr="00891E11">
        <w:t>Table 1.</w:t>
      </w:r>
      <w:r>
        <w:t xml:space="preserve"> Compares the net pay values of the 30 audit wells and the net pay contours within which they plot. The correlation between the two values is quantified as a number and as a percentage.</w:t>
      </w:r>
    </w:p>
    <w:p w14:paraId="741E1CE2" w14:textId="0D14FA56" w:rsidR="00A80178" w:rsidRDefault="00A80178" w:rsidP="008F07E6">
      <w:pPr>
        <w:jc w:val="both"/>
      </w:pPr>
    </w:p>
    <w:p w14:paraId="3676CC0F" w14:textId="7169BC28" w:rsidR="00FD20EF" w:rsidRDefault="00FD20EF" w:rsidP="008F07E6">
      <w:pPr>
        <w:jc w:val="both"/>
      </w:pPr>
    </w:p>
    <w:p w14:paraId="3FC34E42" w14:textId="4E51BF00" w:rsidR="00793C6D" w:rsidRDefault="00793C6D" w:rsidP="00193A9E">
      <w:pPr>
        <w:jc w:val="both"/>
      </w:pPr>
    </w:p>
    <w:p w14:paraId="3DA688EB" w14:textId="6E1AC0C5" w:rsidR="00BC7631" w:rsidRDefault="005E5160" w:rsidP="00193A9E">
      <w:pPr>
        <w:jc w:val="both"/>
      </w:pPr>
      <w:r>
        <w:t>T</w:t>
      </w:r>
      <w:r w:rsidR="00167FAE">
        <w:t>he</w:t>
      </w:r>
      <w:r>
        <w:t xml:space="preserve"> </w:t>
      </w:r>
      <w:r w:rsidR="005B4EF0">
        <w:t xml:space="preserve">net </w:t>
      </w:r>
      <w:r w:rsidR="00A80178">
        <w:t>pay</w:t>
      </w:r>
      <w:r w:rsidR="005B4EF0">
        <w:t xml:space="preserve"> map </w:t>
      </w:r>
      <w:r w:rsidR="00167FAE">
        <w:t xml:space="preserve">upon which the </w:t>
      </w:r>
      <w:r>
        <w:t>Upper</w:t>
      </w:r>
      <w:r w:rsidR="00A80178">
        <w:t xml:space="preserve"> Forest Sandstone</w:t>
      </w:r>
      <w:r>
        <w:t xml:space="preserve"> </w:t>
      </w:r>
      <w:r w:rsidR="005B4EF0">
        <w:t>reservoir volume</w:t>
      </w:r>
      <w:r w:rsidR="00167FAE">
        <w:t xml:space="preserve"> </w:t>
      </w:r>
      <w:r>
        <w:t>was established</w:t>
      </w:r>
      <w:r w:rsidR="00167FAE">
        <w:t xml:space="preserve"> and</w:t>
      </w:r>
      <w:r w:rsidR="005B4EF0">
        <w:t xml:space="preserve"> upon which the OOIP calculations</w:t>
      </w:r>
      <w:r w:rsidR="00167FAE">
        <w:t xml:space="preserve"> depended, is regarded as</w:t>
      </w:r>
      <w:r w:rsidR="005B4EF0">
        <w:t xml:space="preserve"> </w:t>
      </w:r>
      <w:r w:rsidR="00167FAE">
        <w:t>reliable</w:t>
      </w:r>
      <w:r>
        <w:t xml:space="preserve"> based on the results of the net </w:t>
      </w:r>
      <w:r w:rsidR="00A80178">
        <w:t>pay</w:t>
      </w:r>
      <w:r>
        <w:t xml:space="preserve"> audit. </w:t>
      </w:r>
      <w:r w:rsidR="00862E29">
        <w:t xml:space="preserve">Whereas there </w:t>
      </w:r>
      <w:r w:rsidR="0054590E">
        <w:t>a</w:t>
      </w:r>
      <w:r w:rsidR="00862E29">
        <w:t xml:space="preserve">re a couple of wells with anomalously low net </w:t>
      </w:r>
      <w:r w:rsidR="00A80178">
        <w:t>pay</w:t>
      </w:r>
      <w:r w:rsidR="00862E29">
        <w:t xml:space="preserve"> values</w:t>
      </w:r>
      <w:r w:rsidR="0054590E">
        <w:t xml:space="preserve"> relative to the contoured map, there are more with </w:t>
      </w:r>
      <w:r w:rsidR="002D3766">
        <w:t xml:space="preserve">much higher </w:t>
      </w:r>
      <w:r w:rsidR="0054590E">
        <w:t xml:space="preserve">net </w:t>
      </w:r>
      <w:r w:rsidR="00A80178">
        <w:t>pay</w:t>
      </w:r>
      <w:r w:rsidR="0054590E">
        <w:t xml:space="preserve"> values</w:t>
      </w:r>
      <w:r w:rsidR="0073524B">
        <w:t xml:space="preserve">. Additionally, </w:t>
      </w:r>
      <w:r w:rsidR="00E71ADD">
        <w:t xml:space="preserve">there is very good correlation </w:t>
      </w:r>
      <w:r w:rsidR="0073524B">
        <w:t>in the major sand-rich fairway (where the bulk of the reservoir volume resides)</w:t>
      </w:r>
      <w:r w:rsidR="00B41CCB">
        <w:t xml:space="preserve"> </w:t>
      </w:r>
      <w:r w:rsidR="00E71ADD">
        <w:t xml:space="preserve">of </w:t>
      </w:r>
      <w:r w:rsidR="00B41CCB">
        <w:t xml:space="preserve">net </w:t>
      </w:r>
      <w:r w:rsidR="003A226E">
        <w:t>pay</w:t>
      </w:r>
      <w:r w:rsidR="00B41CCB">
        <w:t xml:space="preserve"> in the audit wells and contoured values o</w:t>
      </w:r>
      <w:r w:rsidR="002D2E64">
        <w:t>n</w:t>
      </w:r>
      <w:r w:rsidR="00B41CCB">
        <w:t xml:space="preserve"> the </w:t>
      </w:r>
      <w:r w:rsidR="00E71ADD">
        <w:t xml:space="preserve">net </w:t>
      </w:r>
      <w:r w:rsidR="003A226E">
        <w:t>pay map</w:t>
      </w:r>
      <w:r w:rsidR="00E71ADD">
        <w:t>,</w:t>
      </w:r>
      <w:r w:rsidR="00B41CCB">
        <w:t xml:space="preserve"> </w:t>
      </w:r>
      <w:r w:rsidR="006028C0">
        <w:t>indicat</w:t>
      </w:r>
      <w:r w:rsidR="00E71ADD">
        <w:t>ing</w:t>
      </w:r>
      <w:r w:rsidR="006028C0">
        <w:t xml:space="preserve"> that </w:t>
      </w:r>
      <w:r w:rsidR="00B41CCB">
        <w:t xml:space="preserve">it is </w:t>
      </w:r>
      <w:r w:rsidR="00975171">
        <w:t xml:space="preserve">more </w:t>
      </w:r>
      <w:r w:rsidR="002D2E64">
        <w:t xml:space="preserve">probable that </w:t>
      </w:r>
      <w:r w:rsidR="0054590E">
        <w:t xml:space="preserve">the </w:t>
      </w:r>
      <w:r w:rsidR="006028C0">
        <w:t xml:space="preserve">net </w:t>
      </w:r>
      <w:r w:rsidR="003A226E">
        <w:t>pay</w:t>
      </w:r>
      <w:r w:rsidR="006028C0">
        <w:t xml:space="preserve"> map</w:t>
      </w:r>
      <w:r w:rsidR="0054590E">
        <w:t xml:space="preserve"> underestimates the reservoir volume</w:t>
      </w:r>
      <w:r w:rsidR="002D2E64">
        <w:t xml:space="preserve"> than overestimates it.</w:t>
      </w:r>
      <w:r w:rsidR="00BC7631">
        <w:t xml:space="preserve"> </w:t>
      </w:r>
    </w:p>
    <w:p w14:paraId="6C0C2678" w14:textId="77777777" w:rsidR="00AF0995" w:rsidRPr="00AE4ACF" w:rsidRDefault="00AF0995" w:rsidP="002C548E">
      <w:pPr>
        <w:jc w:val="both"/>
      </w:pPr>
    </w:p>
    <w:p w14:paraId="3D9A7F42" w14:textId="77777777" w:rsidR="002C548E" w:rsidRDefault="002C548E" w:rsidP="002C548E">
      <w:pPr>
        <w:pStyle w:val="Heading3"/>
      </w:pPr>
      <w:bookmarkStart w:id="12" w:name="_Toc82760757"/>
      <w:bookmarkStart w:id="13" w:name="_Toc109039041"/>
      <w:r>
        <w:t>Estimating Porosity and Oil Saturation</w:t>
      </w:r>
      <w:bookmarkEnd w:id="12"/>
      <w:bookmarkEnd w:id="13"/>
    </w:p>
    <w:p w14:paraId="6B10DF04" w14:textId="77777777" w:rsidR="002C548E" w:rsidRDefault="002C548E" w:rsidP="002C548E"/>
    <w:p w14:paraId="014886B5" w14:textId="32043221" w:rsidR="002C548E" w:rsidRDefault="002C548E" w:rsidP="002C548E">
      <w:pPr>
        <w:jc w:val="both"/>
        <w:rPr>
          <w:color w:val="000000" w:themeColor="text1"/>
        </w:rPr>
      </w:pPr>
      <w:r w:rsidRPr="001951BA">
        <w:rPr>
          <w:color w:val="000000" w:themeColor="text1"/>
        </w:rPr>
        <w:t>The porosity in a sandstone reservoir defines the space available for storing fluids (hydrocarbons or water) and can be referred to as the storage capacity of the reservoir. In a hydrocarbon-bearing reservoir, oil and water typically make up 100% of the fluids stored in the pore spaces. Therefore, if the water saturation (Sw) is 30%, then oil saturation (So) is 70%. The most reliable estimate of porosity and oil saturation of a reservoir rock is derived from laboratory analysis of core samples collected during exploration or appraisal drilling.</w:t>
      </w:r>
    </w:p>
    <w:p w14:paraId="6603E651" w14:textId="2DBC283C" w:rsidR="00AA4EDE" w:rsidRDefault="00AA4EDE" w:rsidP="002C548E">
      <w:pPr>
        <w:jc w:val="both"/>
        <w:rPr>
          <w:color w:val="000000" w:themeColor="text1"/>
        </w:rPr>
      </w:pPr>
    </w:p>
    <w:p w14:paraId="62453C98" w14:textId="10487AA4" w:rsidR="00A76EF8" w:rsidRDefault="00A76EF8" w:rsidP="00A76EF8">
      <w:pPr>
        <w:jc w:val="both"/>
      </w:pPr>
      <w:r>
        <w:rPr>
          <w:color w:val="000000" w:themeColor="text1"/>
        </w:rPr>
        <w:t xml:space="preserve">Gafney Cline &amp; Associates </w:t>
      </w:r>
      <w:r w:rsidR="00891E11">
        <w:rPr>
          <w:color w:val="000000" w:themeColor="text1"/>
        </w:rPr>
        <w:t xml:space="preserve">(2008) </w:t>
      </w:r>
      <w:r>
        <w:rPr>
          <w:color w:val="000000" w:themeColor="text1"/>
        </w:rPr>
        <w:t xml:space="preserve">undertook </w:t>
      </w:r>
      <w:r>
        <w:t>a detailed petrophysical analysis utilising well log and core data provided by N</w:t>
      </w:r>
      <w:r w:rsidR="00B265A1">
        <w:t>HE</w:t>
      </w:r>
      <w:r>
        <w:t xml:space="preserve"> to determine porosity and water saturation of the Forest Sandstone reservoir at Parrylands field. GCA’s analysis included 98 wells that have gamma ray (GR), resistivity and porosity (density/neutron) logs. </w:t>
      </w:r>
      <w:r w:rsidR="00A8605D">
        <w:t xml:space="preserve">An additional </w:t>
      </w:r>
      <w:r w:rsidR="00266620">
        <w:t xml:space="preserve">8 </w:t>
      </w:r>
      <w:r w:rsidR="00A8605D">
        <w:t>wells lacking</w:t>
      </w:r>
      <w:r>
        <w:t xml:space="preserve"> porosity logs</w:t>
      </w:r>
      <w:r w:rsidR="00266620">
        <w:t xml:space="preserve"> were also included in the analysis </w:t>
      </w:r>
      <w:r>
        <w:t>because they either had core data (for example PAE-162 and PAE-147) or helped define fluid contacts or/and reservoir continuity.</w:t>
      </w:r>
      <w:r w:rsidR="001F76AC">
        <w:t xml:space="preserve"> Porosity values ranged from 32 to 36% yielding an average for </w:t>
      </w:r>
      <w:r w:rsidR="00D33EFD">
        <w:t xml:space="preserve">oil </w:t>
      </w:r>
      <w:r w:rsidR="001F76AC">
        <w:t>volumetric</w:t>
      </w:r>
      <w:r w:rsidR="00D33EFD">
        <w:t xml:space="preserve"> calculations of 34%.</w:t>
      </w:r>
    </w:p>
    <w:p w14:paraId="153290BA" w14:textId="77777777" w:rsidR="00A76EF8" w:rsidRDefault="00A76EF8" w:rsidP="00A76EF8">
      <w:pPr>
        <w:tabs>
          <w:tab w:val="left" w:pos="2405"/>
        </w:tabs>
      </w:pPr>
    </w:p>
    <w:p w14:paraId="40494BA3" w14:textId="0A4AD24E" w:rsidR="006028C0" w:rsidRDefault="00D33EFD" w:rsidP="000D569C">
      <w:pPr>
        <w:tabs>
          <w:tab w:val="left" w:pos="2405"/>
        </w:tabs>
        <w:jc w:val="both"/>
      </w:pPr>
      <w:r>
        <w:t xml:space="preserve">In calculating water saturation, </w:t>
      </w:r>
      <w:r w:rsidR="00A76EF8">
        <w:t xml:space="preserve">GCA </w:t>
      </w:r>
      <w:r>
        <w:t>used the Simandoux shaly sand model. Input parameters for the model include</w:t>
      </w:r>
      <w:r w:rsidR="00905917">
        <w:t>d</w:t>
      </w:r>
      <w:r>
        <w:t xml:space="preserve"> a formation water salinity of 35,000 ppm, and cementation and saturation exponents of 1.8 and 2.0 respectively. Pay cutoffs were based on an effective porosity of greater than 20% and a water saturation</w:t>
      </w:r>
      <w:r w:rsidR="00905917">
        <w:t xml:space="preserve"> of less than about 45%, which was derived from the Operator’s experience of little or no production in reservoir intervals where resistivity was less than 5 ohm.m. Average oil saturation </w:t>
      </w:r>
      <w:r w:rsidR="000D569C">
        <w:t>of</w:t>
      </w:r>
      <w:r w:rsidR="00905917">
        <w:t xml:space="preserve"> 75% (1-S</w:t>
      </w:r>
      <w:r w:rsidR="00905917" w:rsidRPr="00905917">
        <w:rPr>
          <w:vertAlign w:val="subscript"/>
        </w:rPr>
        <w:t>w</w:t>
      </w:r>
      <w:r w:rsidR="00905917">
        <w:t>) was derived from CGA’s analysis.</w:t>
      </w:r>
    </w:p>
    <w:p w14:paraId="31A163B3" w14:textId="4795972E" w:rsidR="006028C0" w:rsidRDefault="006028C0" w:rsidP="002C548E"/>
    <w:p w14:paraId="50D5A2FD" w14:textId="2EDAB79A" w:rsidR="00891E11" w:rsidRDefault="00891E11" w:rsidP="002C548E"/>
    <w:p w14:paraId="17C253CF" w14:textId="77777777" w:rsidR="00891E11" w:rsidRDefault="00891E11" w:rsidP="002C548E"/>
    <w:p w14:paraId="30939AD1" w14:textId="77777777" w:rsidR="002C548E" w:rsidRPr="00737647" w:rsidRDefault="002C548E" w:rsidP="002C548E">
      <w:pPr>
        <w:pStyle w:val="Heading3"/>
      </w:pPr>
      <w:bookmarkStart w:id="14" w:name="_Toc82760758"/>
      <w:bookmarkStart w:id="15" w:name="_Toc109039042"/>
      <w:r>
        <w:lastRenderedPageBreak/>
        <w:t>Assigning a Formation Volume Factor</w:t>
      </w:r>
      <w:bookmarkEnd w:id="14"/>
      <w:bookmarkEnd w:id="15"/>
    </w:p>
    <w:p w14:paraId="29A6FF1F" w14:textId="77777777" w:rsidR="002C548E" w:rsidRDefault="002C548E" w:rsidP="002C548E">
      <w:pPr>
        <w:jc w:val="both"/>
      </w:pPr>
    </w:p>
    <w:p w14:paraId="06960EC6" w14:textId="77777777" w:rsidR="002C548E" w:rsidRPr="00B0664D" w:rsidRDefault="002C548E" w:rsidP="002C548E">
      <w:pPr>
        <w:jc w:val="both"/>
        <w:rPr>
          <w:color w:val="000000" w:themeColor="text1"/>
        </w:rPr>
      </w:pPr>
      <w:r w:rsidRPr="00B0664D">
        <w:rPr>
          <w:color w:val="000000" w:themeColor="text1"/>
        </w:rPr>
        <w:t>Oil volume can change from the reservoir to standard conditions at surface and is considered in OOIP calculations by the assignment of a Formation Volume Factor. The main factors that cause the change in oil volume as a crude ascends from the reservoir to surface conditions are:</w:t>
      </w:r>
    </w:p>
    <w:p w14:paraId="45C1727C" w14:textId="77777777" w:rsidR="002C548E" w:rsidRPr="00B0664D" w:rsidRDefault="002C548E" w:rsidP="00C33AC1">
      <w:pPr>
        <w:pStyle w:val="ListParagraph"/>
        <w:numPr>
          <w:ilvl w:val="0"/>
          <w:numId w:val="2"/>
        </w:numPr>
        <w:jc w:val="both"/>
        <w:rPr>
          <w:color w:val="000000" w:themeColor="text1"/>
        </w:rPr>
      </w:pPr>
      <w:r w:rsidRPr="00B0664D">
        <w:rPr>
          <w:color w:val="000000" w:themeColor="text1"/>
        </w:rPr>
        <w:t>oil loses mass because of a loss of dissolved gas</w:t>
      </w:r>
    </w:p>
    <w:p w14:paraId="2951CD80" w14:textId="77777777" w:rsidR="002C548E" w:rsidRPr="00B0664D" w:rsidRDefault="002C548E" w:rsidP="00C33AC1">
      <w:pPr>
        <w:pStyle w:val="ListParagraph"/>
        <w:numPr>
          <w:ilvl w:val="0"/>
          <w:numId w:val="2"/>
        </w:numPr>
        <w:jc w:val="both"/>
        <w:rPr>
          <w:color w:val="000000" w:themeColor="text1"/>
        </w:rPr>
      </w:pPr>
      <w:r w:rsidRPr="00B0664D">
        <w:rPr>
          <w:color w:val="000000" w:themeColor="text1"/>
        </w:rPr>
        <w:t>oil shrinks slightly because of the reduction in temperature</w:t>
      </w:r>
    </w:p>
    <w:p w14:paraId="424561CB" w14:textId="77777777" w:rsidR="002C548E" w:rsidRPr="00B0664D" w:rsidRDefault="002C548E" w:rsidP="00C33AC1">
      <w:pPr>
        <w:pStyle w:val="ListParagraph"/>
        <w:numPr>
          <w:ilvl w:val="0"/>
          <w:numId w:val="2"/>
        </w:numPr>
        <w:jc w:val="both"/>
        <w:rPr>
          <w:color w:val="000000" w:themeColor="text1"/>
        </w:rPr>
      </w:pPr>
      <w:r w:rsidRPr="00B0664D">
        <w:rPr>
          <w:color w:val="000000" w:themeColor="text1"/>
        </w:rPr>
        <w:t>oil expands slightly because of the reduction in pressure</w:t>
      </w:r>
    </w:p>
    <w:p w14:paraId="1B3B96ED" w14:textId="77777777" w:rsidR="00C83644" w:rsidRDefault="00C83644" w:rsidP="002C548E">
      <w:pPr>
        <w:jc w:val="both"/>
        <w:rPr>
          <w:color w:val="000000" w:themeColor="text1"/>
        </w:rPr>
      </w:pPr>
    </w:p>
    <w:p w14:paraId="67D02BE7" w14:textId="0604A6DD" w:rsidR="003259B8" w:rsidRDefault="002C548E" w:rsidP="002C548E">
      <w:pPr>
        <w:jc w:val="both"/>
        <w:rPr>
          <w:color w:val="000000" w:themeColor="text1"/>
        </w:rPr>
      </w:pPr>
      <w:r w:rsidRPr="00B0664D">
        <w:rPr>
          <w:color w:val="000000" w:themeColor="text1"/>
        </w:rPr>
        <w:t xml:space="preserve">The Formation Volume Factor for the </w:t>
      </w:r>
      <w:r w:rsidR="00C83644">
        <w:rPr>
          <w:color w:val="000000" w:themeColor="text1"/>
        </w:rPr>
        <w:t xml:space="preserve">heavy oil in </w:t>
      </w:r>
      <w:r w:rsidR="000D569C">
        <w:rPr>
          <w:color w:val="000000" w:themeColor="text1"/>
        </w:rPr>
        <w:t>Parrylands Block E</w:t>
      </w:r>
      <w:r w:rsidRPr="00B0664D">
        <w:rPr>
          <w:color w:val="000000" w:themeColor="text1"/>
        </w:rPr>
        <w:t xml:space="preserve"> is considered insignificant (</w:t>
      </w:r>
      <w:r w:rsidR="00891E11" w:rsidRPr="00B0664D">
        <w:rPr>
          <w:color w:val="000000" w:themeColor="text1"/>
        </w:rPr>
        <w:t>i.e.</w:t>
      </w:r>
      <w:r w:rsidR="00891E11">
        <w:rPr>
          <w:color w:val="000000" w:themeColor="text1"/>
        </w:rPr>
        <w:t>,</w:t>
      </w:r>
      <w:r w:rsidRPr="00B0664D">
        <w:rPr>
          <w:color w:val="000000" w:themeColor="text1"/>
        </w:rPr>
        <w:t xml:space="preserve"> ~1) because </w:t>
      </w:r>
      <w:r w:rsidR="00C83644">
        <w:rPr>
          <w:color w:val="000000" w:themeColor="text1"/>
        </w:rPr>
        <w:t xml:space="preserve">the crude is </w:t>
      </w:r>
      <w:r w:rsidR="000D569C">
        <w:rPr>
          <w:color w:val="000000" w:themeColor="text1"/>
        </w:rPr>
        <w:t>heavy at</w:t>
      </w:r>
      <w:r w:rsidR="000D569C">
        <w:t xml:space="preserve"> 11-16</w:t>
      </w:r>
      <w:r w:rsidR="00C83644" w:rsidRPr="006C4317">
        <w:rPr>
          <w:vertAlign w:val="superscript"/>
        </w:rPr>
        <w:t>o</w:t>
      </w:r>
      <w:r w:rsidR="00C83644">
        <w:t xml:space="preserve"> API gravity </w:t>
      </w:r>
      <w:r w:rsidR="000D569C">
        <w:t>and has a low GOR of 50 Scf/Bbl</w:t>
      </w:r>
      <w:r w:rsidR="00C83644">
        <w:t xml:space="preserve">. Moreover, the reservoirs generally lie in a depth </w:t>
      </w:r>
      <w:r w:rsidR="00C83644" w:rsidRPr="009C3106">
        <w:t xml:space="preserve">range of </w:t>
      </w:r>
      <w:r w:rsidR="000D569C" w:rsidRPr="009C3106">
        <w:t>900-1200</w:t>
      </w:r>
      <w:r w:rsidR="00C83644" w:rsidRPr="009C3106">
        <w:t>’.</w:t>
      </w:r>
    </w:p>
    <w:p w14:paraId="104E4317" w14:textId="77777777" w:rsidR="00E80B9B" w:rsidRDefault="00E80B9B" w:rsidP="002C548E">
      <w:pPr>
        <w:jc w:val="both"/>
        <w:rPr>
          <w:color w:val="000000" w:themeColor="text1"/>
        </w:rPr>
      </w:pPr>
    </w:p>
    <w:p w14:paraId="0CE89201" w14:textId="2A958613" w:rsidR="00924922" w:rsidRDefault="00924922" w:rsidP="00924922">
      <w:pPr>
        <w:pStyle w:val="Heading1"/>
      </w:pPr>
      <w:bookmarkStart w:id="16" w:name="_Toc109039043"/>
      <w:r>
        <w:t xml:space="preserve">Original Oil in Place Calculation of the </w:t>
      </w:r>
      <w:r w:rsidR="00CA75ED">
        <w:t>Parrylands E Block, Trinidad</w:t>
      </w:r>
      <w:bookmarkEnd w:id="16"/>
    </w:p>
    <w:p w14:paraId="30C9D4F0" w14:textId="293A0858" w:rsidR="002C548E" w:rsidRDefault="002C548E" w:rsidP="002C548E">
      <w:pPr>
        <w:jc w:val="both"/>
        <w:rPr>
          <w:color w:val="000000" w:themeColor="text1"/>
        </w:rPr>
      </w:pPr>
    </w:p>
    <w:p w14:paraId="7EB1AC67" w14:textId="326DE1EE" w:rsidR="00C83644" w:rsidRDefault="00BE4A80" w:rsidP="00C83644">
      <w:pPr>
        <w:jc w:val="both"/>
      </w:pPr>
      <w:r>
        <w:t xml:space="preserve">A grid of 2.5-acre blocks was overlain on the net pay map constructed by NHE (figure </w:t>
      </w:r>
      <w:r w:rsidR="00891E11">
        <w:t>9</w:t>
      </w:r>
      <w:r>
        <w:t xml:space="preserve">) and average net pay thickness was assigned within each block. </w:t>
      </w:r>
      <w:r w:rsidR="007E629C">
        <w:t>Note that the 50’ net pay contour was defined as the cut-off for commercial steam flood operations</w:t>
      </w:r>
      <w:r w:rsidR="009B6477">
        <w:t xml:space="preserve"> in NHE’s mapping</w:t>
      </w:r>
      <w:r w:rsidR="007E629C">
        <w:t xml:space="preserve">. </w:t>
      </w:r>
      <w:r>
        <w:t>The average porosity of 34% and oil saturation of 75% was then applied in each grid block along with a Formation Volume Factor of 1 to calculate the original oil in place (</w:t>
      </w:r>
      <w:r w:rsidR="00CF007B">
        <w:t>appendix 2</w:t>
      </w:r>
      <w:r>
        <w:t xml:space="preserve">). </w:t>
      </w:r>
      <w:r w:rsidR="007E629C">
        <w:t>The total productive acres</w:t>
      </w:r>
      <w:r w:rsidR="00225164">
        <w:t xml:space="preserve"> with net pay greater than 50’ is 299 acres in Block E. The average net pay thickness is 112’ giving a total OOIP of 70,781,337 barrels</w:t>
      </w:r>
      <w:r w:rsidR="00CF007B">
        <w:t xml:space="preserve"> (appendix 2)</w:t>
      </w:r>
      <w:r w:rsidR="00225164">
        <w:t>.</w:t>
      </w:r>
    </w:p>
    <w:p w14:paraId="1C964529" w14:textId="4BE7E65F" w:rsidR="00CF007B" w:rsidRDefault="00CF007B" w:rsidP="00C83644">
      <w:pPr>
        <w:jc w:val="both"/>
      </w:pPr>
    </w:p>
    <w:p w14:paraId="1A7DB85C" w14:textId="30C7E662" w:rsidR="00CF007B" w:rsidRDefault="00CF007B" w:rsidP="00C83644">
      <w:pPr>
        <w:jc w:val="both"/>
      </w:pPr>
      <w:r>
        <w:rPr>
          <w:noProof/>
        </w:rPr>
        <w:lastRenderedPageBreak/>
        <w:drawing>
          <wp:inline distT="0" distB="0" distL="0" distR="0" wp14:anchorId="21CD6780" wp14:editId="2C4FC942">
            <wp:extent cx="5731510" cy="8395970"/>
            <wp:effectExtent l="0" t="0" r="254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22"/>
                    <a:stretch>
                      <a:fillRect/>
                    </a:stretch>
                  </pic:blipFill>
                  <pic:spPr>
                    <a:xfrm>
                      <a:off x="0" y="0"/>
                      <a:ext cx="5731510" cy="8395970"/>
                    </a:xfrm>
                    <a:prstGeom prst="rect">
                      <a:avLst/>
                    </a:prstGeom>
                  </pic:spPr>
                </pic:pic>
              </a:graphicData>
            </a:graphic>
          </wp:inline>
        </w:drawing>
      </w:r>
    </w:p>
    <w:p w14:paraId="7FDDFCB0" w14:textId="081AA51B" w:rsidR="00DA4C5F" w:rsidRDefault="00DA4C5F" w:rsidP="00C83644">
      <w:pPr>
        <w:jc w:val="both"/>
      </w:pPr>
      <w:r>
        <w:t xml:space="preserve">Figure 9. Net pay thickness map with </w:t>
      </w:r>
      <w:proofErr w:type="gramStart"/>
      <w:r>
        <w:t>2.5 acre</w:t>
      </w:r>
      <w:proofErr w:type="gramEnd"/>
      <w:r>
        <w:t xml:space="preserve"> grid blocks superimposed for net pay calculations.</w:t>
      </w:r>
    </w:p>
    <w:p w14:paraId="74B13562" w14:textId="77777777" w:rsidR="00334453" w:rsidRDefault="00334453" w:rsidP="00C83644">
      <w:pPr>
        <w:jc w:val="both"/>
        <w:rPr>
          <w:highlight w:val="yellow"/>
        </w:rPr>
      </w:pPr>
    </w:p>
    <w:p w14:paraId="42AF5164" w14:textId="2DAD932F" w:rsidR="00FD0A25" w:rsidRDefault="00334453" w:rsidP="00A02C67">
      <w:pPr>
        <w:jc w:val="both"/>
      </w:pPr>
      <w:r w:rsidRPr="00334453">
        <w:t xml:space="preserve">After auditing the net </w:t>
      </w:r>
      <w:r w:rsidR="00225164">
        <w:t>pay</w:t>
      </w:r>
      <w:r>
        <w:t xml:space="preserve"> map </w:t>
      </w:r>
      <w:r w:rsidR="00EF029E">
        <w:t xml:space="preserve">by independently calculating net </w:t>
      </w:r>
      <w:r w:rsidR="00225164">
        <w:t>pay</w:t>
      </w:r>
      <w:r w:rsidR="00EF029E">
        <w:t xml:space="preserve"> values in</w:t>
      </w:r>
      <w:r>
        <w:t xml:space="preserve"> </w:t>
      </w:r>
      <w:r w:rsidR="00225164">
        <w:t>30</w:t>
      </w:r>
      <w:r>
        <w:t xml:space="preserve"> </w:t>
      </w:r>
      <w:r w:rsidR="007C3C7F">
        <w:t>densely</w:t>
      </w:r>
      <w:r w:rsidR="00C7086A">
        <w:t xml:space="preserve"> spaced </w:t>
      </w:r>
      <w:r w:rsidR="00EF029E">
        <w:t xml:space="preserve">wells </w:t>
      </w:r>
      <w:r w:rsidR="007C3C7F">
        <w:t xml:space="preserve">in the southern half of Block E </w:t>
      </w:r>
      <w:r w:rsidR="00EF029E">
        <w:t xml:space="preserve">it is concluded that the OOIP estimate of </w:t>
      </w:r>
      <w:r w:rsidR="007C3C7F">
        <w:t xml:space="preserve">~70 MMBO is </w:t>
      </w:r>
      <w:r w:rsidR="00EC44C4">
        <w:t>potentially valid</w:t>
      </w:r>
      <w:r w:rsidR="0000509C">
        <w:t xml:space="preserve"> </w:t>
      </w:r>
      <w:r w:rsidR="00085089">
        <w:t xml:space="preserve">but </w:t>
      </w:r>
      <w:r w:rsidR="00EC44C4">
        <w:t xml:space="preserve">too </w:t>
      </w:r>
      <w:r w:rsidR="00085089">
        <w:t xml:space="preserve">conservative </w:t>
      </w:r>
      <w:r w:rsidR="0000509C">
        <w:t>for resource and reserves certifications</w:t>
      </w:r>
      <w:r w:rsidR="006A02DE">
        <w:t xml:space="preserve"> purposes</w:t>
      </w:r>
      <w:r w:rsidR="007C3C7F">
        <w:t xml:space="preserve"> because </w:t>
      </w:r>
      <w:r w:rsidR="000E1A34">
        <w:t xml:space="preserve">NHE’s </w:t>
      </w:r>
      <w:r w:rsidR="007C3C7F">
        <w:t>net pay map underestimates actual net pay thickness</w:t>
      </w:r>
      <w:r w:rsidR="00A5045E">
        <w:t xml:space="preserve"> in many of the audit wells</w:t>
      </w:r>
      <w:r w:rsidR="006A58DC">
        <w:t>,</w:t>
      </w:r>
      <w:r w:rsidR="000E1A34">
        <w:t xml:space="preserve"> on average</w:t>
      </w:r>
      <w:r w:rsidR="00A5045E">
        <w:t xml:space="preserve"> by as much as 24%</w:t>
      </w:r>
      <w:r w:rsidR="00EF029E">
        <w:t>.</w:t>
      </w:r>
      <w:r w:rsidR="00A5045E">
        <w:t xml:space="preserve"> Moreover, GCA estimate</w:t>
      </w:r>
      <w:r w:rsidR="00F47406">
        <w:t>d</w:t>
      </w:r>
      <w:r w:rsidR="006A02DE">
        <w:t xml:space="preserve"> </w:t>
      </w:r>
      <w:r w:rsidR="00A5045E">
        <w:t>81 MMBO of OOIP</w:t>
      </w:r>
      <w:r w:rsidR="00F47406">
        <w:t xml:space="preserve"> using the same porosity and oil saturation data</w:t>
      </w:r>
      <w:r w:rsidR="002A5667">
        <w:t xml:space="preserve"> </w:t>
      </w:r>
      <w:r w:rsidR="00A5045E">
        <w:t xml:space="preserve">in their </w:t>
      </w:r>
      <w:r w:rsidR="00085089">
        <w:t xml:space="preserve">comprehensive analysis </w:t>
      </w:r>
      <w:r w:rsidR="0066082D">
        <w:t xml:space="preserve">of the Forest Reservoir in Block E. </w:t>
      </w:r>
      <w:r w:rsidR="000E1A34">
        <w:t xml:space="preserve">The major difference between </w:t>
      </w:r>
      <w:r w:rsidR="0066082D">
        <w:t xml:space="preserve">GCA’s </w:t>
      </w:r>
      <w:r w:rsidR="006A02DE">
        <w:t xml:space="preserve">estimate of OOIP </w:t>
      </w:r>
      <w:r w:rsidR="00F47406">
        <w:t>and that of</w:t>
      </w:r>
      <w:r w:rsidR="006A02DE">
        <w:t xml:space="preserve"> this report is GCA</w:t>
      </w:r>
      <w:r w:rsidR="00F47406">
        <w:t>’s</w:t>
      </w:r>
      <w:r w:rsidR="006A02DE">
        <w:t xml:space="preserve"> </w:t>
      </w:r>
      <w:r w:rsidR="0066082D">
        <w:t>calculated</w:t>
      </w:r>
      <w:r w:rsidR="006A02DE">
        <w:t xml:space="preserve"> average net pay of 137’</w:t>
      </w:r>
      <w:r w:rsidR="0066082D">
        <w:t xml:space="preserve"> within the lease boundary</w:t>
      </w:r>
      <w:r w:rsidR="006A02DE">
        <w:t xml:space="preserve"> compared to 112’</w:t>
      </w:r>
      <w:r w:rsidR="00F47406">
        <w:t xml:space="preserve"> of this report</w:t>
      </w:r>
      <w:r w:rsidR="0066082D">
        <w:t>.</w:t>
      </w:r>
      <w:r w:rsidR="00F47406">
        <w:t xml:space="preserve"> Substituting 137’ for the 112’ parameter results in an OOIP of 81 MMBO (</w:t>
      </w:r>
      <w:r w:rsidR="006A58DC">
        <w:t>table</w:t>
      </w:r>
      <w:r w:rsidR="00F47406">
        <w:t xml:space="preserve"> </w:t>
      </w:r>
      <w:r w:rsidR="00DA4C5F">
        <w:t>2</w:t>
      </w:r>
      <w:r w:rsidR="00F47406">
        <w:t>).</w:t>
      </w:r>
    </w:p>
    <w:p w14:paraId="106EC56F" w14:textId="0498FFAE" w:rsidR="00F47406" w:rsidRDefault="00F47406" w:rsidP="00A02C67">
      <w:pPr>
        <w:jc w:val="both"/>
      </w:pPr>
    </w:p>
    <w:p w14:paraId="7C956D34" w14:textId="70692F7F" w:rsidR="00F47406" w:rsidRDefault="00C33C99" w:rsidP="00A02C67">
      <w:pPr>
        <w:jc w:val="both"/>
      </w:pPr>
      <w:r w:rsidRPr="00C33C99">
        <w:rPr>
          <w:noProof/>
        </w:rPr>
        <w:drawing>
          <wp:inline distT="0" distB="0" distL="0" distR="0" wp14:anchorId="216511FD" wp14:editId="4BF0D005">
            <wp:extent cx="4508500" cy="61214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08500" cy="612140"/>
                    </a:xfrm>
                    <a:prstGeom prst="rect">
                      <a:avLst/>
                    </a:prstGeom>
                    <a:noFill/>
                    <a:ln>
                      <a:noFill/>
                    </a:ln>
                  </pic:spPr>
                </pic:pic>
              </a:graphicData>
            </a:graphic>
          </wp:inline>
        </w:drawing>
      </w:r>
    </w:p>
    <w:p w14:paraId="44EA5BEA" w14:textId="238FC354" w:rsidR="002A5667" w:rsidRDefault="006A58DC" w:rsidP="00A02C67">
      <w:pPr>
        <w:jc w:val="both"/>
      </w:pPr>
      <w:r>
        <w:t xml:space="preserve">Table </w:t>
      </w:r>
      <w:r w:rsidR="00DA4C5F">
        <w:t>2</w:t>
      </w:r>
      <w:r>
        <w:t>.</w:t>
      </w:r>
      <w:r w:rsidR="00DA4C5F">
        <w:t xml:space="preserve"> OOIP calculation when using a net pay thickness of 137’ as calculated by GCA (2008).</w:t>
      </w:r>
      <w:r>
        <w:t xml:space="preserve"> </w:t>
      </w:r>
    </w:p>
    <w:p w14:paraId="05CEBDA6" w14:textId="77777777" w:rsidR="00B3107C" w:rsidRDefault="00B3107C" w:rsidP="00A02C67">
      <w:pPr>
        <w:jc w:val="both"/>
      </w:pPr>
    </w:p>
    <w:p w14:paraId="42199016" w14:textId="034A8649" w:rsidR="00D20613" w:rsidRDefault="00D20613" w:rsidP="00CA75ED">
      <w:pPr>
        <w:pStyle w:val="Heading1"/>
      </w:pPr>
      <w:bookmarkStart w:id="17" w:name="_Toc109039044"/>
      <w:r>
        <w:t>Production History</w:t>
      </w:r>
      <w:bookmarkEnd w:id="17"/>
    </w:p>
    <w:p w14:paraId="5D0E4D33" w14:textId="77777777" w:rsidR="00CA75ED" w:rsidRPr="00CA75ED" w:rsidRDefault="00CA75ED" w:rsidP="00CA75ED"/>
    <w:p w14:paraId="296DE91A" w14:textId="01EBCDE9" w:rsidR="00636E08" w:rsidRDefault="00CA75ED" w:rsidP="00F6016A">
      <w:pPr>
        <w:jc w:val="both"/>
      </w:pPr>
      <w:r>
        <w:t>Block E of the</w:t>
      </w:r>
      <w:r w:rsidR="00D20613">
        <w:t xml:space="preserve"> </w:t>
      </w:r>
      <w:r>
        <w:t xml:space="preserve">Parrylands </w:t>
      </w:r>
      <w:r w:rsidR="00D20613">
        <w:t xml:space="preserve">field was owned and operated by Petrotrin </w:t>
      </w:r>
      <w:r>
        <w:t>until</w:t>
      </w:r>
      <w:r w:rsidR="00D20613">
        <w:t xml:space="preserve"> </w:t>
      </w:r>
      <w:r w:rsidR="00F6016A">
        <w:t xml:space="preserve">the </w:t>
      </w:r>
      <w:r w:rsidR="00AC400B">
        <w:t>Y</w:t>
      </w:r>
      <w:r w:rsidR="00F6016A">
        <w:t xml:space="preserve">ear </w:t>
      </w:r>
      <w:r w:rsidR="00D20613">
        <w:t xml:space="preserve">2000 when </w:t>
      </w:r>
      <w:r>
        <w:t>NHE</w:t>
      </w:r>
      <w:r w:rsidR="00D20613">
        <w:t xml:space="preserve"> </w:t>
      </w:r>
      <w:r w:rsidR="00F6016A">
        <w:t>acquired</w:t>
      </w:r>
      <w:r w:rsidR="00D20613">
        <w:t xml:space="preserve"> operator</w:t>
      </w:r>
      <w:r w:rsidR="00F6016A">
        <w:t>ship</w:t>
      </w:r>
      <w:r w:rsidR="00D20613">
        <w:t xml:space="preserve">. </w:t>
      </w:r>
      <w:r w:rsidR="00F6016A">
        <w:t xml:space="preserve">NHE embarked on a development program, drilling 60 new vertical and 10 horizontals wells between 2001 and 2004 to better define field limits. NHE initiated a steam injection project in 2004 </w:t>
      </w:r>
      <w:r w:rsidR="00636E08">
        <w:t>using</w:t>
      </w:r>
      <w:r w:rsidR="00F6016A">
        <w:t xml:space="preserve"> vertical </w:t>
      </w:r>
      <w:r w:rsidR="00636E08">
        <w:t xml:space="preserve">wells as </w:t>
      </w:r>
      <w:r w:rsidR="00F6016A">
        <w:t xml:space="preserve">injectors and horizontal </w:t>
      </w:r>
      <w:r w:rsidR="00636E08">
        <w:t xml:space="preserve">wells as producers but were forced to suspend the project </w:t>
      </w:r>
      <w:r w:rsidR="00AC400B">
        <w:t xml:space="preserve">after only two months </w:t>
      </w:r>
      <w:r w:rsidR="00636E08">
        <w:t>because of unexpected steam breakthrough and increased water cut in the producing wells.</w:t>
      </w:r>
      <w:r w:rsidR="008B5BD3">
        <w:t xml:space="preserve"> NHE speculated that </w:t>
      </w:r>
      <w:r w:rsidR="00202A92">
        <w:t xml:space="preserve">the </w:t>
      </w:r>
      <w:r w:rsidR="00B466D8">
        <w:t xml:space="preserve">unforeseen production response was </w:t>
      </w:r>
      <w:r w:rsidR="00202A92">
        <w:t>cause</w:t>
      </w:r>
      <w:r w:rsidR="00B466D8">
        <w:t>d</w:t>
      </w:r>
      <w:r w:rsidR="00202A92">
        <w:t xml:space="preserve"> </w:t>
      </w:r>
      <w:r w:rsidR="00B466D8">
        <w:t>by</w:t>
      </w:r>
      <w:r w:rsidR="00202A92">
        <w:t xml:space="preserve"> </w:t>
      </w:r>
      <w:r w:rsidR="008B5BD3">
        <w:t>steam injection rates exceed</w:t>
      </w:r>
      <w:r w:rsidR="00B466D8">
        <w:t>ing</w:t>
      </w:r>
      <w:r w:rsidR="008B5BD3">
        <w:t xml:space="preserve"> the fracture gradient and </w:t>
      </w:r>
      <w:r w:rsidR="00202A92">
        <w:t xml:space="preserve">structural complexity </w:t>
      </w:r>
      <w:r w:rsidR="00B466D8">
        <w:t>of</w:t>
      </w:r>
      <w:r w:rsidR="00202A92">
        <w:t xml:space="preserve"> the field result</w:t>
      </w:r>
      <w:r w:rsidR="00B466D8">
        <w:t>ing</w:t>
      </w:r>
      <w:r w:rsidR="00202A92">
        <w:t xml:space="preserve"> in</w:t>
      </w:r>
      <w:r w:rsidR="008B5BD3">
        <w:t xml:space="preserve"> horizontal producers </w:t>
      </w:r>
      <w:r w:rsidR="00B466D8">
        <w:t>cutting across</w:t>
      </w:r>
      <w:r w:rsidR="008B5BD3">
        <w:t xml:space="preserve"> different fault blocks</w:t>
      </w:r>
      <w:r w:rsidR="00202A92">
        <w:t>.</w:t>
      </w:r>
      <w:r w:rsidR="008B5BD3">
        <w:t xml:space="preserve"> </w:t>
      </w:r>
      <w:r w:rsidR="001B1738">
        <w:t>NHE re</w:t>
      </w:r>
      <w:r w:rsidR="0097115E">
        <w:t>oriented</w:t>
      </w:r>
      <w:r w:rsidR="001B1738">
        <w:t xml:space="preserve"> their development </w:t>
      </w:r>
      <w:r w:rsidR="0097115E">
        <w:t>wells</w:t>
      </w:r>
      <w:r w:rsidR="001B1738">
        <w:t xml:space="preserve"> to vertical producers and injectors arranged in 5-spot patterns</w:t>
      </w:r>
      <w:r w:rsidR="0097115E">
        <w:t xml:space="preserve"> and</w:t>
      </w:r>
      <w:r w:rsidR="001B1738">
        <w:t xml:space="preserve"> </w:t>
      </w:r>
      <w:r w:rsidR="0097115E">
        <w:t xml:space="preserve">in preparation for a vertical steam injection project, </w:t>
      </w:r>
      <w:r w:rsidR="0044195E">
        <w:t>drilled an</w:t>
      </w:r>
      <w:r w:rsidR="0097115E">
        <w:t xml:space="preserve"> </w:t>
      </w:r>
      <w:r w:rsidR="001B1738">
        <w:t>ad</w:t>
      </w:r>
      <w:r w:rsidR="0044195E">
        <w:t>ditional</w:t>
      </w:r>
      <w:r w:rsidR="001B1738">
        <w:t xml:space="preserve"> 24 vertical injectors and 28 vertical producers</w:t>
      </w:r>
      <w:r w:rsidR="0044195E">
        <w:t xml:space="preserve"> from 2006-2008</w:t>
      </w:r>
      <w:r w:rsidR="001B1738">
        <w:t xml:space="preserve"> </w:t>
      </w:r>
      <w:r w:rsidR="0097115E">
        <w:t>targeting the South-Central part of the field.</w:t>
      </w:r>
    </w:p>
    <w:p w14:paraId="1857E4EE" w14:textId="77777777" w:rsidR="0044195E" w:rsidRDefault="0044195E" w:rsidP="00F6016A">
      <w:pPr>
        <w:jc w:val="both"/>
      </w:pPr>
    </w:p>
    <w:p w14:paraId="69B98005" w14:textId="4953DF6D" w:rsidR="00D20613" w:rsidRDefault="0044195E" w:rsidP="00F6016A">
      <w:pPr>
        <w:jc w:val="both"/>
      </w:pPr>
      <w:r>
        <w:t>F</w:t>
      </w:r>
      <w:r w:rsidR="00D20613">
        <w:t xml:space="preserve">ield production rate </w:t>
      </w:r>
      <w:r>
        <w:t>in August 2008 was</w:t>
      </w:r>
      <w:r w:rsidR="00D20613">
        <w:t xml:space="preserve"> about 92 barrels of oil per day (BOPD)</w:t>
      </w:r>
      <w:r>
        <w:t xml:space="preserve"> from the Forest Sandstone reservoir at depths ranging from 900 to 1,200 ft.</w:t>
      </w:r>
      <w:r w:rsidR="003A6FC1">
        <w:t xml:space="preserve"> According to Gaffney, Cline &amp; Associates (GCA; 2008) productive acreage of the Forest Sandstone in Block E is on the order of 320 acres</w:t>
      </w:r>
      <w:r w:rsidR="00283301">
        <w:t>,</w:t>
      </w:r>
      <w:r w:rsidR="003A6FC1">
        <w:t xml:space="preserve"> the crude produced </w:t>
      </w:r>
      <w:r w:rsidR="00283301">
        <w:t>varies from 11</w:t>
      </w:r>
      <w:r w:rsidR="00283301" w:rsidRPr="00283301">
        <w:rPr>
          <w:vertAlign w:val="superscript"/>
        </w:rPr>
        <w:t>0</w:t>
      </w:r>
      <w:r w:rsidR="00283301">
        <w:t xml:space="preserve"> API to 16</w:t>
      </w:r>
      <w:r w:rsidR="00283301" w:rsidRPr="00283301">
        <w:rPr>
          <w:vertAlign w:val="superscript"/>
        </w:rPr>
        <w:t>0</w:t>
      </w:r>
      <w:r w:rsidR="00283301">
        <w:t xml:space="preserve"> API and flows at a viscosity of 4,200 cP at reservoir temperature. </w:t>
      </w:r>
      <w:r w:rsidR="00D20613">
        <w:t>The average gas oil ratio</w:t>
      </w:r>
      <w:r w:rsidR="007F7C02">
        <w:t xml:space="preserve"> (GOR)</w:t>
      </w:r>
      <w:r w:rsidR="00D20613">
        <w:t xml:space="preserve"> is 50 </w:t>
      </w:r>
      <w:r w:rsidR="00283301">
        <w:t>S</w:t>
      </w:r>
      <w:r w:rsidR="00D20613">
        <w:t>cf/Bbl and the produced gas is used as lease fuel.</w:t>
      </w:r>
      <w:r w:rsidR="000B3E79">
        <w:t xml:space="preserve"> Crude oil production is accompanied by very fine silt-like sand production which is an ongoing operational challenge resolved mostly by utilising progressi</w:t>
      </w:r>
      <w:r w:rsidR="00A35E58">
        <w:t>ng</w:t>
      </w:r>
      <w:r w:rsidR="000B3E79">
        <w:t xml:space="preserve"> cavity pumps (PCP’s). </w:t>
      </w:r>
    </w:p>
    <w:p w14:paraId="19F49D29" w14:textId="61D1B2EF" w:rsidR="00A35E58" w:rsidRDefault="00A35E58" w:rsidP="00D20613">
      <w:pPr>
        <w:tabs>
          <w:tab w:val="left" w:pos="1915"/>
        </w:tabs>
      </w:pPr>
    </w:p>
    <w:p w14:paraId="5C2666B6" w14:textId="2A4030D8" w:rsidR="00A35E58" w:rsidRDefault="004F3510" w:rsidP="004F3510">
      <w:pPr>
        <w:jc w:val="both"/>
      </w:pPr>
      <w:r w:rsidRPr="004F3510">
        <w:rPr>
          <w:shd w:val="clear" w:color="auto" w:fill="FFFFFF"/>
        </w:rPr>
        <w:lastRenderedPageBreak/>
        <w:t>NHE has not released production data for the period 2008 till recently but current production is approximately 160 bopd from 30 unstimulated wells.</w:t>
      </w:r>
    </w:p>
    <w:p w14:paraId="0C712C77" w14:textId="08277E76" w:rsidR="00D20613" w:rsidRDefault="00D20613" w:rsidP="00D20613">
      <w:pPr>
        <w:tabs>
          <w:tab w:val="left" w:pos="1915"/>
        </w:tabs>
      </w:pPr>
    </w:p>
    <w:p w14:paraId="31B89EC7" w14:textId="0DCA1E2B" w:rsidR="00D20613" w:rsidRDefault="00D20613" w:rsidP="00F503DD">
      <w:pPr>
        <w:pStyle w:val="Heading1"/>
      </w:pPr>
      <w:bookmarkStart w:id="18" w:name="_Toc109039045"/>
      <w:r>
        <w:t>Analog</w:t>
      </w:r>
      <w:r w:rsidR="00E4065A">
        <w:t xml:space="preserve"> Production in Neighboring Petrotrin</w:t>
      </w:r>
      <w:r w:rsidR="00502D34">
        <w:t>/Texaco</w:t>
      </w:r>
      <w:r w:rsidR="00E4065A">
        <w:t xml:space="preserve"> Steamflood Pilot</w:t>
      </w:r>
      <w:bookmarkEnd w:id="18"/>
    </w:p>
    <w:p w14:paraId="12B0027A" w14:textId="2BB8B462" w:rsidR="00D20613" w:rsidRDefault="00D20613" w:rsidP="00D20613">
      <w:pPr>
        <w:tabs>
          <w:tab w:val="left" w:pos="2405"/>
        </w:tabs>
      </w:pPr>
    </w:p>
    <w:p w14:paraId="29668F16" w14:textId="78E0621E" w:rsidR="00E4065A" w:rsidRDefault="00502D34" w:rsidP="00151F6E">
      <w:pPr>
        <w:tabs>
          <w:tab w:val="left" w:pos="2405"/>
        </w:tabs>
        <w:jc w:val="both"/>
      </w:pPr>
      <w:r>
        <w:t xml:space="preserve">In 1981, </w:t>
      </w:r>
      <w:r w:rsidR="00E4065A">
        <w:t>Petrotrin</w:t>
      </w:r>
      <w:r>
        <w:t>/Texaco</w:t>
      </w:r>
      <w:r w:rsidR="00E4065A">
        <w:t xml:space="preserve"> </w:t>
      </w:r>
      <w:r>
        <w:t>commenced</w:t>
      </w:r>
      <w:r w:rsidR="00E4065A">
        <w:t xml:space="preserve"> a highly successful steam pilot project</w:t>
      </w:r>
      <w:r>
        <w:t xml:space="preserve"> adjacent to Parrylands Block E</w:t>
      </w:r>
      <w:r w:rsidR="00E4065A">
        <w:t xml:space="preserve"> </w:t>
      </w:r>
      <w:r>
        <w:t>just 660’ to the west of NHE’s concession</w:t>
      </w:r>
      <w:r w:rsidR="00FC5416">
        <w:t xml:space="preserve"> boundary</w:t>
      </w:r>
      <w:r>
        <w:t xml:space="preserve"> (figure </w:t>
      </w:r>
      <w:r w:rsidR="00C82F9D">
        <w:t>9</w:t>
      </w:r>
      <w:r>
        <w:t xml:space="preserve">). The geological and hydrocarbon characteristics </w:t>
      </w:r>
      <w:r w:rsidR="00FC5416">
        <w:t>of the 30-acre pilot area are virtually the same as in Block E. The productive reservoir in the steam pilot is the Forest Sandstone with an average 115’ of net oil pay, 32% porosity and permeability ranging from 250-500 millidarcies. Oil saturation is 75%, oil gravity is from 11-16</w:t>
      </w:r>
      <w:r w:rsidR="00FC5416" w:rsidRPr="00FC5416">
        <w:rPr>
          <w:vertAlign w:val="superscript"/>
        </w:rPr>
        <w:t>0</w:t>
      </w:r>
      <w:r w:rsidR="00FC5416">
        <w:t xml:space="preserve"> API</w:t>
      </w:r>
      <w:r w:rsidR="00151F6E">
        <w:t xml:space="preserve"> and oil viscosity is 4,200 cP at 99</w:t>
      </w:r>
      <w:r w:rsidR="00151F6E" w:rsidRPr="00151F6E">
        <w:rPr>
          <w:vertAlign w:val="superscript"/>
        </w:rPr>
        <w:t>0</w:t>
      </w:r>
      <w:r w:rsidR="00151F6E">
        <w:t>F.</w:t>
      </w:r>
    </w:p>
    <w:p w14:paraId="040DDFE1" w14:textId="77777777" w:rsidR="000468D3" w:rsidRDefault="000468D3" w:rsidP="00D20613">
      <w:pPr>
        <w:tabs>
          <w:tab w:val="left" w:pos="2405"/>
        </w:tabs>
      </w:pPr>
    </w:p>
    <w:p w14:paraId="0A744ECA" w14:textId="6867CD19" w:rsidR="005C7D67" w:rsidRDefault="00DB4F9A" w:rsidP="004620B9">
      <w:pPr>
        <w:tabs>
          <w:tab w:val="left" w:pos="2405"/>
        </w:tabs>
        <w:jc w:val="both"/>
      </w:pPr>
      <w:r>
        <w:t xml:space="preserve">GCA (2008) </w:t>
      </w:r>
      <w:r w:rsidR="00CC5655">
        <w:t xml:space="preserve">constructed a graph of Petrotrin/Texaco’s pilot performance (figure </w:t>
      </w:r>
      <w:r w:rsidR="00C82F9D">
        <w:t>10</w:t>
      </w:r>
      <w:r w:rsidR="00CC5655">
        <w:t xml:space="preserve">) utilising historical production and steam injection data and reference material from Rambarran (1987). </w:t>
      </w:r>
      <w:r w:rsidR="000468D3">
        <w:t xml:space="preserve">From 1981 till mid-1993, the pilot project produced </w:t>
      </w:r>
      <w:r w:rsidR="00CC5655">
        <w:t>2.5</w:t>
      </w:r>
      <w:r w:rsidR="005C7D67">
        <w:t xml:space="preserve"> million</w:t>
      </w:r>
      <w:r w:rsidR="000468D3">
        <w:t xml:space="preserve"> barrels of the 6.1 million barrels of OOIP</w:t>
      </w:r>
      <w:r w:rsidR="005C7D67">
        <w:t>,</w:t>
      </w:r>
      <w:r w:rsidR="000468D3">
        <w:t xml:space="preserve"> representing a recovery factor of </w:t>
      </w:r>
      <w:r w:rsidR="005C7D67">
        <w:t>4</w:t>
      </w:r>
      <w:r w:rsidR="00CC5655">
        <w:t>1</w:t>
      </w:r>
      <w:r w:rsidR="000468D3">
        <w:t xml:space="preserve">%. </w:t>
      </w:r>
      <w:r w:rsidR="00763943">
        <w:t xml:space="preserve">Note that NHE’s in-house review of Petrotrin’s production data recorded 3 million barrels of oil recovered over the life of the pilot, or a 49% recovery factor. </w:t>
      </w:r>
      <w:r w:rsidR="005C7D67">
        <w:t xml:space="preserve">The ratio of </w:t>
      </w:r>
      <w:r w:rsidR="00291AD5">
        <w:t xml:space="preserve">steam injected to </w:t>
      </w:r>
      <w:r w:rsidR="005C7D67">
        <w:t xml:space="preserve">oil produced </w:t>
      </w:r>
      <w:r w:rsidR="00291AD5">
        <w:t>was 4.2:1 (GCA, 2008) and is comfortably below the SOR (</w:t>
      </w:r>
      <w:r w:rsidR="00291AD5" w:rsidRPr="007C2521">
        <w:t>Steam injected to Oil produced Ratio</w:t>
      </w:r>
      <w:r w:rsidR="00291AD5">
        <w:t xml:space="preserve">) </w:t>
      </w:r>
      <w:r w:rsidR="00CC5655">
        <w:t xml:space="preserve">of 5 that is </w:t>
      </w:r>
      <w:r w:rsidR="00291AD5">
        <w:t xml:space="preserve">generally regarded as </w:t>
      </w:r>
      <w:r w:rsidR="00CC5655">
        <w:t xml:space="preserve">economically </w:t>
      </w:r>
      <w:r w:rsidR="00291AD5">
        <w:t>favorable</w:t>
      </w:r>
      <w:r w:rsidR="00CC5655">
        <w:t xml:space="preserve"> for steam injection projects</w:t>
      </w:r>
      <w:r w:rsidR="00291AD5">
        <w:t xml:space="preserve">. </w:t>
      </w:r>
      <w:r w:rsidR="004620B9">
        <w:t xml:space="preserve">The cost of steam generation (in terms of thermal equivalence) is </w:t>
      </w:r>
      <w:r w:rsidR="001D460D">
        <w:t>enhanced</w:t>
      </w:r>
      <w:r w:rsidR="004620B9">
        <w:t xml:space="preserve"> in both the pilot area and Block E because t</w:t>
      </w:r>
      <w:r w:rsidR="00291AD5">
        <w:t xml:space="preserve">he </w:t>
      </w:r>
      <w:r w:rsidR="004620B9">
        <w:t>gas that accompanies oil production (GOR</w:t>
      </w:r>
      <w:r w:rsidR="00291AD5">
        <w:t xml:space="preserve"> </w:t>
      </w:r>
      <w:r w:rsidR="004620B9">
        <w:t>of</w:t>
      </w:r>
      <w:r w:rsidR="00291AD5">
        <w:t xml:space="preserve"> 50 Scf/Bbl</w:t>
      </w:r>
      <w:r w:rsidR="004620B9">
        <w:t>)</w:t>
      </w:r>
      <w:r w:rsidR="00291AD5">
        <w:t xml:space="preserve"> is used as lease fuel</w:t>
      </w:r>
      <w:r w:rsidR="001D460D">
        <w:t>.</w:t>
      </w:r>
    </w:p>
    <w:p w14:paraId="673E4402" w14:textId="5AC3E355" w:rsidR="00302104" w:rsidRDefault="00302104" w:rsidP="004620B9">
      <w:pPr>
        <w:tabs>
          <w:tab w:val="left" w:pos="2405"/>
        </w:tabs>
        <w:jc w:val="both"/>
      </w:pPr>
    </w:p>
    <w:p w14:paraId="27F50F38" w14:textId="0F619BC0" w:rsidR="00302104" w:rsidRDefault="00302104" w:rsidP="004620B9">
      <w:pPr>
        <w:tabs>
          <w:tab w:val="left" w:pos="2405"/>
        </w:tabs>
        <w:jc w:val="both"/>
      </w:pPr>
      <w:r w:rsidRPr="00302104">
        <w:rPr>
          <w:noProof/>
        </w:rPr>
        <w:lastRenderedPageBreak/>
        <w:drawing>
          <wp:inline distT="0" distB="0" distL="0" distR="0" wp14:anchorId="2EA0D51D" wp14:editId="6A7AAF63">
            <wp:extent cx="5731510" cy="4540885"/>
            <wp:effectExtent l="0" t="0" r="2540" b="0"/>
            <wp:docPr id="21" name="Picture 2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10;&#10;Description automatically generated"/>
                    <pic:cNvPicPr/>
                  </pic:nvPicPr>
                  <pic:blipFill>
                    <a:blip r:embed="rId24"/>
                    <a:stretch>
                      <a:fillRect/>
                    </a:stretch>
                  </pic:blipFill>
                  <pic:spPr>
                    <a:xfrm>
                      <a:off x="0" y="0"/>
                      <a:ext cx="5731510" cy="4540885"/>
                    </a:xfrm>
                    <a:prstGeom prst="rect">
                      <a:avLst/>
                    </a:prstGeom>
                  </pic:spPr>
                </pic:pic>
              </a:graphicData>
            </a:graphic>
          </wp:inline>
        </w:drawing>
      </w:r>
    </w:p>
    <w:p w14:paraId="71C609D7" w14:textId="6AAF5FA0" w:rsidR="00E4065A" w:rsidRDefault="00302104" w:rsidP="00D20613">
      <w:pPr>
        <w:tabs>
          <w:tab w:val="left" w:pos="2405"/>
        </w:tabs>
      </w:pPr>
      <w:r>
        <w:t xml:space="preserve">Figure </w:t>
      </w:r>
      <w:r w:rsidR="00C82F9D">
        <w:t>10</w:t>
      </w:r>
      <w:r>
        <w:t xml:space="preserve">. </w:t>
      </w:r>
      <w:r w:rsidR="00C82F9D">
        <w:t>Petrotrin/Texaco’s pilot production performance.</w:t>
      </w:r>
    </w:p>
    <w:p w14:paraId="78A38CC9" w14:textId="355CE1E6" w:rsidR="00302104" w:rsidRDefault="00302104" w:rsidP="00D20613">
      <w:pPr>
        <w:tabs>
          <w:tab w:val="left" w:pos="2405"/>
        </w:tabs>
      </w:pPr>
    </w:p>
    <w:p w14:paraId="4752F72A" w14:textId="21F5E3BF" w:rsidR="00302104" w:rsidRDefault="00C82F9D" w:rsidP="00763943">
      <w:pPr>
        <w:tabs>
          <w:tab w:val="left" w:pos="2405"/>
        </w:tabs>
        <w:jc w:val="both"/>
      </w:pPr>
      <w:r>
        <w:t>The p</w:t>
      </w:r>
      <w:r w:rsidR="00302104" w:rsidRPr="0086670F">
        <w:t>ilot utilized thermal steam enhanced oil recovery methods to enhance production and stimulate</w:t>
      </w:r>
      <w:r>
        <w:t xml:space="preserve"> the</w:t>
      </w:r>
      <w:r w:rsidR="00302104" w:rsidRPr="0086670F">
        <w:t xml:space="preserve"> reservoir. 5-spot well patterns within 16 wells on 150’ spacing was utilized. Management’s experience has demonstrated that steam injection can be approximately 3 times more expensive than Hot Flue Gas EOR. Pre-thermal pilot production was approximately 25 bopd; post thermal pilot production reached 500 bopd in Year 4. Peak production: 750 bopd in Year 8, produced 3 million barrels in 20 years. Approximate recovery was 50% of OOIP</w:t>
      </w:r>
      <w:r w:rsidR="00763943" w:rsidRPr="0086670F">
        <w:t>.</w:t>
      </w:r>
    </w:p>
    <w:p w14:paraId="2385B46E" w14:textId="5B67AAF6" w:rsidR="00B656E5" w:rsidRDefault="00B656E5" w:rsidP="00763943">
      <w:pPr>
        <w:tabs>
          <w:tab w:val="left" w:pos="2405"/>
        </w:tabs>
        <w:jc w:val="both"/>
      </w:pPr>
    </w:p>
    <w:p w14:paraId="331698C1" w14:textId="6DA133AA" w:rsidR="00B656E5" w:rsidRPr="00C82F9D" w:rsidRDefault="00A8383F" w:rsidP="00C82F9D">
      <w:pPr>
        <w:pStyle w:val="Heading1"/>
        <w:jc w:val="both"/>
      </w:pPr>
      <w:bookmarkStart w:id="19" w:name="_Toc109039046"/>
      <w:r w:rsidRPr="00C82F9D">
        <w:t>Synopsis</w:t>
      </w:r>
      <w:r w:rsidR="00B656E5" w:rsidRPr="00C82F9D">
        <w:t xml:space="preserve"> of the Gaffney, Cline &amp; Associates 2008 Reserves Certification at Block E Parrylands Field</w:t>
      </w:r>
      <w:bookmarkEnd w:id="19"/>
    </w:p>
    <w:p w14:paraId="223C5A95" w14:textId="006BD9AE" w:rsidR="00707788" w:rsidRDefault="00707788" w:rsidP="00707788"/>
    <w:p w14:paraId="344C0F93" w14:textId="35CD9A02" w:rsidR="00E727ED" w:rsidRDefault="00707788" w:rsidP="00E727ED">
      <w:pPr>
        <w:tabs>
          <w:tab w:val="left" w:pos="2405"/>
        </w:tabs>
        <w:jc w:val="both"/>
      </w:pPr>
      <w:r>
        <w:t>GCA prepared a reserves certification report for NHE in 2008. NHE provided GCA with a comprehensive data base of digital well information</w:t>
      </w:r>
      <w:r w:rsidR="00BE724A">
        <w:t xml:space="preserve"> from about 174 wells in and around the Parrylands area</w:t>
      </w:r>
      <w:r>
        <w:t xml:space="preserve"> including </w:t>
      </w:r>
      <w:r w:rsidR="00D20613">
        <w:t>well logs, core measurements, production records and maps</w:t>
      </w:r>
      <w:r>
        <w:t xml:space="preserve">, most of which </w:t>
      </w:r>
      <w:r w:rsidR="00D20613">
        <w:t>w</w:t>
      </w:r>
      <w:r>
        <w:t>ere</w:t>
      </w:r>
      <w:r w:rsidR="00D20613">
        <w:t xml:space="preserve"> organized in a PETRA proje</w:t>
      </w:r>
      <w:r>
        <w:t>ct</w:t>
      </w:r>
      <w:r w:rsidR="00D20613">
        <w:t>.</w:t>
      </w:r>
      <w:r w:rsidR="00BE724A">
        <w:t xml:space="preserve"> </w:t>
      </w:r>
      <w:r w:rsidR="00D20613">
        <w:t xml:space="preserve">GCA </w:t>
      </w:r>
      <w:r w:rsidR="00BE724A">
        <w:t xml:space="preserve">critically </w:t>
      </w:r>
      <w:r w:rsidR="00D20613">
        <w:t xml:space="preserve">reviewed the digital well data and </w:t>
      </w:r>
      <w:r w:rsidR="00BE724A">
        <w:t>generated</w:t>
      </w:r>
      <w:r w:rsidR="00D20613">
        <w:t xml:space="preserve"> </w:t>
      </w:r>
      <w:r w:rsidR="00BE724A">
        <w:t xml:space="preserve">their own </w:t>
      </w:r>
      <w:r w:rsidR="00D20613">
        <w:t>interpretation</w:t>
      </w:r>
      <w:r w:rsidR="00BE724A">
        <w:t xml:space="preserve"> of some</w:t>
      </w:r>
      <w:r w:rsidR="00D20613">
        <w:t xml:space="preserve"> 123 wells</w:t>
      </w:r>
      <w:r w:rsidR="00100D10">
        <w:t xml:space="preserve"> that involved modifications to the stratigraphic correlations as </w:t>
      </w:r>
      <w:r w:rsidR="00100D10">
        <w:lastRenderedPageBreak/>
        <w:t xml:space="preserve">well as improvement to the fault patterns present in the field.  </w:t>
      </w:r>
      <w:r w:rsidR="00E727ED">
        <w:t>GCA also constructed a comprehensive petrophysical model that addressed porosity, water saturation, permeability characteristics (vertical and horizontal) and hydrocarbon distribution.</w:t>
      </w:r>
    </w:p>
    <w:p w14:paraId="3B04160D" w14:textId="26CEB788" w:rsidR="00E727ED" w:rsidRDefault="00E727ED" w:rsidP="00E727ED">
      <w:pPr>
        <w:tabs>
          <w:tab w:val="left" w:pos="2405"/>
        </w:tabs>
        <w:jc w:val="both"/>
      </w:pPr>
    </w:p>
    <w:p w14:paraId="6933ABED" w14:textId="5897A0EF" w:rsidR="00D20613" w:rsidRDefault="00E727ED" w:rsidP="00114F9A">
      <w:pPr>
        <w:tabs>
          <w:tab w:val="left" w:pos="2405"/>
        </w:tabs>
        <w:jc w:val="both"/>
      </w:pPr>
      <w:r>
        <w:t xml:space="preserve">From their analysis GCA observed that the entire field </w:t>
      </w:r>
      <w:r w:rsidR="00114F9A">
        <w:t>cannot be represented by a single fluid contact because oil-water contacts or lowest known oil levels were different across different fault blocks</w:t>
      </w:r>
      <w:r w:rsidR="00066AE9">
        <w:t>, and</w:t>
      </w:r>
      <w:r w:rsidR="00114F9A">
        <w:t xml:space="preserve"> </w:t>
      </w:r>
      <w:r w:rsidR="00066AE9">
        <w:t>l</w:t>
      </w:r>
      <w:r w:rsidR="00114F9A">
        <w:t>ocalised occurrences of water adjacent to</w:t>
      </w:r>
      <w:r w:rsidR="00C82F9D">
        <w:t>,</w:t>
      </w:r>
      <w:r w:rsidR="00114F9A">
        <w:t xml:space="preserve"> and trapped by</w:t>
      </w:r>
      <w:r w:rsidR="00C82F9D">
        <w:t>,</w:t>
      </w:r>
      <w:r w:rsidR="00114F9A">
        <w:t xml:space="preserve"> certain faults represent</w:t>
      </w:r>
      <w:r w:rsidR="00066AE9">
        <w:t>ed</w:t>
      </w:r>
      <w:r w:rsidR="00114F9A">
        <w:t xml:space="preserve"> </w:t>
      </w:r>
      <w:r w:rsidR="00D20613">
        <w:t>“Perched” water not representative of the oil water contact in such fault blocks.</w:t>
      </w:r>
    </w:p>
    <w:p w14:paraId="04334A1A" w14:textId="77777777" w:rsidR="00D20613" w:rsidRDefault="00D20613" w:rsidP="00D20613">
      <w:pPr>
        <w:tabs>
          <w:tab w:val="left" w:pos="2405"/>
        </w:tabs>
      </w:pPr>
    </w:p>
    <w:p w14:paraId="6B244C39" w14:textId="64C65796" w:rsidR="00D20613" w:rsidRDefault="00505F13" w:rsidP="001B0DD8">
      <w:pPr>
        <w:tabs>
          <w:tab w:val="left" w:pos="2405"/>
        </w:tabs>
        <w:jc w:val="both"/>
      </w:pPr>
      <w:r>
        <w:t>GCA created a three-dimensional model in Petrel consisting of s</w:t>
      </w:r>
      <w:r w:rsidR="00D20613">
        <w:t xml:space="preserve">ix horizons (five sand tops and one reservoir base) </w:t>
      </w:r>
      <w:r>
        <w:t xml:space="preserve">along with the fault plane interpretations </w:t>
      </w:r>
      <w:r w:rsidR="002368B0">
        <w:t xml:space="preserve">and the lease boundary with a </w:t>
      </w:r>
      <w:r w:rsidR="00D20613">
        <w:t xml:space="preserve">grid size defined in IJ spacing of 150ft x 150ft </w:t>
      </w:r>
      <w:r w:rsidR="002368B0">
        <w:t>and</w:t>
      </w:r>
      <w:r w:rsidR="00D20613">
        <w:t xml:space="preserve"> K layering averaging 4 ft, which resulted in 167,462 total cells in the full field geological model (</w:t>
      </w:r>
      <w:r w:rsidR="002368B0">
        <w:t xml:space="preserve">figure </w:t>
      </w:r>
      <w:r w:rsidR="00C82F9D">
        <w:t>11</w:t>
      </w:r>
      <w:r w:rsidR="00D20613">
        <w:t>).</w:t>
      </w:r>
    </w:p>
    <w:p w14:paraId="699B00A2" w14:textId="7A7447BA" w:rsidR="002368B0" w:rsidRDefault="002368B0" w:rsidP="00D20613">
      <w:pPr>
        <w:tabs>
          <w:tab w:val="left" w:pos="2405"/>
        </w:tabs>
      </w:pPr>
    </w:p>
    <w:p w14:paraId="59F09498" w14:textId="69E910AB" w:rsidR="002368B0" w:rsidRDefault="002368B0" w:rsidP="00D20613">
      <w:pPr>
        <w:tabs>
          <w:tab w:val="left" w:pos="2405"/>
        </w:tabs>
      </w:pPr>
      <w:r w:rsidRPr="002368B0">
        <w:rPr>
          <w:noProof/>
        </w:rPr>
        <w:drawing>
          <wp:inline distT="0" distB="0" distL="0" distR="0" wp14:anchorId="176E209D" wp14:editId="66A52E2B">
            <wp:extent cx="5731510" cy="3285490"/>
            <wp:effectExtent l="0" t="0" r="254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25"/>
                    <a:stretch>
                      <a:fillRect/>
                    </a:stretch>
                  </pic:blipFill>
                  <pic:spPr>
                    <a:xfrm>
                      <a:off x="0" y="0"/>
                      <a:ext cx="5731510" cy="3285490"/>
                    </a:xfrm>
                    <a:prstGeom prst="rect">
                      <a:avLst/>
                    </a:prstGeom>
                  </pic:spPr>
                </pic:pic>
              </a:graphicData>
            </a:graphic>
          </wp:inline>
        </w:drawing>
      </w:r>
    </w:p>
    <w:p w14:paraId="3583A750" w14:textId="7816033F" w:rsidR="00D20613" w:rsidRDefault="002368B0" w:rsidP="00D20613">
      <w:pPr>
        <w:tabs>
          <w:tab w:val="left" w:pos="2405"/>
        </w:tabs>
      </w:pPr>
      <w:r>
        <w:t xml:space="preserve">Figure </w:t>
      </w:r>
      <w:r w:rsidR="00C82F9D">
        <w:t>11</w:t>
      </w:r>
      <w:r>
        <w:t>. Schematic of GCA’s structure and model boundaries at Block E of Parrylands field.</w:t>
      </w:r>
    </w:p>
    <w:p w14:paraId="5187E607" w14:textId="77777777" w:rsidR="00F71018" w:rsidRDefault="00F71018" w:rsidP="00D20613">
      <w:pPr>
        <w:tabs>
          <w:tab w:val="left" w:pos="2405"/>
        </w:tabs>
      </w:pPr>
    </w:p>
    <w:p w14:paraId="168CC153" w14:textId="2D030B1D" w:rsidR="00D20613" w:rsidRDefault="001B0DD8" w:rsidP="00782A56">
      <w:pPr>
        <w:tabs>
          <w:tab w:val="left" w:pos="2405"/>
        </w:tabs>
        <w:jc w:val="both"/>
      </w:pPr>
      <w:r>
        <w:t>The Petrel model was populated with porosity, clay volume, water saturation and permeability data using the deterministic mapping methodology of Krigging and Co-Krigging</w:t>
      </w:r>
      <w:r w:rsidR="00782A56">
        <w:t>, and finally o</w:t>
      </w:r>
      <w:r w:rsidR="00D20613">
        <w:t>il</w:t>
      </w:r>
      <w:r w:rsidR="00782A56">
        <w:t>-</w:t>
      </w:r>
      <w:r w:rsidR="00D20613">
        <w:t xml:space="preserve">water contacts were identified </w:t>
      </w:r>
      <w:r w:rsidR="00782A56">
        <w:t>and input for</w:t>
      </w:r>
      <w:r w:rsidR="00D20613">
        <w:t xml:space="preserve"> volumetric calculation</w:t>
      </w:r>
      <w:r w:rsidR="00782A56">
        <w:t xml:space="preserve">s. </w:t>
      </w:r>
      <w:r w:rsidR="00D20613">
        <w:t>Most production is at low water cut, and water production is observed in the vicinity of the oil</w:t>
      </w:r>
      <w:r w:rsidR="00D9740B">
        <w:t>-</w:t>
      </w:r>
      <w:r w:rsidR="00D20613">
        <w:t>water contact.</w:t>
      </w:r>
    </w:p>
    <w:p w14:paraId="30E13C6F" w14:textId="314A1A99" w:rsidR="00D20613" w:rsidRDefault="00D20613" w:rsidP="00D20613">
      <w:pPr>
        <w:tabs>
          <w:tab w:val="left" w:pos="2405"/>
        </w:tabs>
      </w:pPr>
    </w:p>
    <w:p w14:paraId="02EB3BF9" w14:textId="71735DD0" w:rsidR="00782A56" w:rsidRDefault="00782A56" w:rsidP="00E52AD0">
      <w:pPr>
        <w:tabs>
          <w:tab w:val="left" w:pos="2405"/>
        </w:tabs>
        <w:jc w:val="both"/>
      </w:pPr>
      <w:r>
        <w:lastRenderedPageBreak/>
        <w:t xml:space="preserve">The original oil in place estimate </w:t>
      </w:r>
      <w:r w:rsidR="00E52AD0">
        <w:t xml:space="preserve">within the lease boundary from </w:t>
      </w:r>
      <w:r>
        <w:t xml:space="preserve">GCA’s Petrel model </w:t>
      </w:r>
      <w:r w:rsidR="00E52AD0">
        <w:t>is 81 MMBbl. GCA also estimated a subset volume for an area of the lease where existing wells are to be steam stimulated (</w:t>
      </w:r>
      <w:r w:rsidR="002C5486">
        <w:t xml:space="preserve">see Simulation Boundary on </w:t>
      </w:r>
      <w:r w:rsidR="00E52AD0">
        <w:t xml:space="preserve">figure </w:t>
      </w:r>
      <w:r w:rsidR="00D9740B">
        <w:t>11</w:t>
      </w:r>
      <w:r w:rsidR="00E52AD0">
        <w:t xml:space="preserve">) of 34 MMBbl in place. </w:t>
      </w:r>
    </w:p>
    <w:p w14:paraId="69701F51" w14:textId="77777777" w:rsidR="00D20613" w:rsidRDefault="00D20613" w:rsidP="00D20613">
      <w:pPr>
        <w:tabs>
          <w:tab w:val="left" w:pos="2405"/>
        </w:tabs>
      </w:pPr>
    </w:p>
    <w:p w14:paraId="04D170CE" w14:textId="3E08F4C8" w:rsidR="00D20613" w:rsidRDefault="00D036E3" w:rsidP="00D036E3">
      <w:pPr>
        <w:tabs>
          <w:tab w:val="left" w:pos="2405"/>
        </w:tabs>
        <w:jc w:val="both"/>
      </w:pPr>
      <w:r>
        <w:t xml:space="preserve">GCA followed up the Petrel model with a </w:t>
      </w:r>
      <w:r w:rsidR="00D20613">
        <w:t>Dynamic</w:t>
      </w:r>
      <w:r>
        <w:t xml:space="preserve"> Reservoir Simulation</w:t>
      </w:r>
      <w:r w:rsidR="00D20613">
        <w:t xml:space="preserve"> Model</w:t>
      </w:r>
      <w:r>
        <w:t xml:space="preserve"> utilising </w:t>
      </w:r>
      <w:r w:rsidR="00D20613">
        <w:t>CMG STARS software.</w:t>
      </w:r>
      <w:r>
        <w:t xml:space="preserve"> </w:t>
      </w:r>
      <w:r w:rsidR="00D20613">
        <w:t xml:space="preserve">The central-south area of </w:t>
      </w:r>
      <w:r>
        <w:t>Block E</w:t>
      </w:r>
      <w:r w:rsidR="00D20613">
        <w:t xml:space="preserve"> w</w:t>
      </w:r>
      <w:r>
        <w:t>here</w:t>
      </w:r>
      <w:r w:rsidR="00D20613">
        <w:t xml:space="preserve"> twenty-four (24) injectors</w:t>
      </w:r>
      <w:r>
        <w:t xml:space="preserve"> were recently completed</w:t>
      </w:r>
      <w:r w:rsidR="00D20613">
        <w:t xml:space="preserve"> was selected as the steaming area for simulation. </w:t>
      </w:r>
      <w:r>
        <w:t>In addition to the reservoir parameters mapped in the Petrel model</w:t>
      </w:r>
      <w:r w:rsidR="00400E80">
        <w:t>, one PVT region and one rock type were used in the dynamic model. Oil viscosity was estimated from the closely adjacent Petrotrin/Texaco Pilot Area.</w:t>
      </w:r>
    </w:p>
    <w:p w14:paraId="3EC317BE" w14:textId="77777777" w:rsidR="00A55BF6" w:rsidRDefault="00A55BF6" w:rsidP="006B087B">
      <w:pPr>
        <w:tabs>
          <w:tab w:val="left" w:pos="2405"/>
        </w:tabs>
        <w:jc w:val="both"/>
      </w:pPr>
    </w:p>
    <w:p w14:paraId="58102133" w14:textId="3D1264D9" w:rsidR="007231EE" w:rsidRDefault="007231EE" w:rsidP="006B087B">
      <w:pPr>
        <w:tabs>
          <w:tab w:val="left" w:pos="2405"/>
        </w:tabs>
        <w:jc w:val="both"/>
      </w:pPr>
      <w:r>
        <w:t xml:space="preserve">Details of upscaling modelling parameters and </w:t>
      </w:r>
      <w:r w:rsidR="006B087B">
        <w:t>Dynamic M</w:t>
      </w:r>
      <w:r>
        <w:t>odel construction are outlined in GCA’s 2008 reserves report</w:t>
      </w:r>
      <w:r w:rsidR="006B087B">
        <w:t xml:space="preserve">. In the central-south part of Block E, the dynamic model matched historical data for both production rate and well bottom-hole pressure, providing high confidence for the steaming study in the area (figure </w:t>
      </w:r>
      <w:r w:rsidR="00D9740B">
        <w:t>12</w:t>
      </w:r>
      <w:r w:rsidR="006B087B">
        <w:t>)</w:t>
      </w:r>
      <w:r w:rsidR="00A55BF6">
        <w:t xml:space="preserve"> although the history match for the whole field</w:t>
      </w:r>
      <w:r w:rsidR="006B087B">
        <w:t xml:space="preserve"> </w:t>
      </w:r>
      <w:r w:rsidR="00A55BF6">
        <w:t xml:space="preserve">was not good because </w:t>
      </w:r>
      <w:r w:rsidR="00524531">
        <w:t xml:space="preserve">of </w:t>
      </w:r>
      <w:r w:rsidR="00A55BF6">
        <w:t>unresolved problems of well locations or well correlations in the northern part of the field</w:t>
      </w:r>
      <w:r w:rsidR="00D9740B">
        <w:t xml:space="preserve"> (figure 13)</w:t>
      </w:r>
      <w:r w:rsidR="00A55BF6">
        <w:t>.</w:t>
      </w:r>
      <w:r w:rsidR="006B087B">
        <w:t xml:space="preserve"> </w:t>
      </w:r>
    </w:p>
    <w:p w14:paraId="15D45D5B" w14:textId="7309705F" w:rsidR="00D20613" w:rsidRDefault="00D20613" w:rsidP="00D20613">
      <w:pPr>
        <w:tabs>
          <w:tab w:val="left" w:pos="2405"/>
        </w:tabs>
      </w:pPr>
    </w:p>
    <w:p w14:paraId="4C28E1C6" w14:textId="6CE57F19" w:rsidR="00524531" w:rsidRDefault="00524531" w:rsidP="00D20613">
      <w:pPr>
        <w:tabs>
          <w:tab w:val="left" w:pos="2405"/>
        </w:tabs>
      </w:pPr>
      <w:r w:rsidRPr="00524531">
        <w:rPr>
          <w:noProof/>
        </w:rPr>
        <w:drawing>
          <wp:inline distT="0" distB="0" distL="0" distR="0" wp14:anchorId="43C5DA6B" wp14:editId="13A13BBD">
            <wp:extent cx="4964400" cy="3960000"/>
            <wp:effectExtent l="0" t="0" r="8255" b="2540"/>
            <wp:docPr id="3" name="Picture 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line chart&#10;&#10;Description automatically generated"/>
                    <pic:cNvPicPr/>
                  </pic:nvPicPr>
                  <pic:blipFill>
                    <a:blip r:embed="rId26"/>
                    <a:stretch>
                      <a:fillRect/>
                    </a:stretch>
                  </pic:blipFill>
                  <pic:spPr>
                    <a:xfrm>
                      <a:off x="0" y="0"/>
                      <a:ext cx="4964400" cy="3960000"/>
                    </a:xfrm>
                    <a:prstGeom prst="rect">
                      <a:avLst/>
                    </a:prstGeom>
                  </pic:spPr>
                </pic:pic>
              </a:graphicData>
            </a:graphic>
          </wp:inline>
        </w:drawing>
      </w:r>
    </w:p>
    <w:p w14:paraId="3B49D6AC" w14:textId="68516322" w:rsidR="00524531" w:rsidRDefault="00524531" w:rsidP="00D20613">
      <w:pPr>
        <w:tabs>
          <w:tab w:val="left" w:pos="2405"/>
        </w:tabs>
      </w:pPr>
      <w:r>
        <w:t xml:space="preserve">Figure </w:t>
      </w:r>
      <w:r w:rsidR="00D9740B">
        <w:t>12</w:t>
      </w:r>
      <w:r>
        <w:t xml:space="preserve">. </w:t>
      </w:r>
      <w:r w:rsidR="00E226AF">
        <w:t>History match for the Steam Area in the south-central area of Block E of Parrylands field.</w:t>
      </w:r>
    </w:p>
    <w:p w14:paraId="2F799A0D" w14:textId="171A4724" w:rsidR="00D20613" w:rsidRDefault="00524531" w:rsidP="00D20613">
      <w:pPr>
        <w:tabs>
          <w:tab w:val="left" w:pos="2405"/>
        </w:tabs>
      </w:pPr>
      <w:r w:rsidRPr="00524531">
        <w:rPr>
          <w:noProof/>
        </w:rPr>
        <w:lastRenderedPageBreak/>
        <w:drawing>
          <wp:inline distT="0" distB="0" distL="0" distR="0" wp14:anchorId="5A85AA12" wp14:editId="2B7D737D">
            <wp:extent cx="4795200" cy="3960000"/>
            <wp:effectExtent l="0" t="0" r="5715" b="2540"/>
            <wp:docPr id="6" name="Picture 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10;&#10;Description automatically generated"/>
                    <pic:cNvPicPr/>
                  </pic:nvPicPr>
                  <pic:blipFill>
                    <a:blip r:embed="rId27"/>
                    <a:stretch>
                      <a:fillRect/>
                    </a:stretch>
                  </pic:blipFill>
                  <pic:spPr>
                    <a:xfrm>
                      <a:off x="0" y="0"/>
                      <a:ext cx="4795200" cy="3960000"/>
                    </a:xfrm>
                    <a:prstGeom prst="rect">
                      <a:avLst/>
                    </a:prstGeom>
                  </pic:spPr>
                </pic:pic>
              </a:graphicData>
            </a:graphic>
          </wp:inline>
        </w:drawing>
      </w:r>
    </w:p>
    <w:p w14:paraId="2614B072" w14:textId="0DF948A3" w:rsidR="00E226AF" w:rsidRDefault="00E226AF" w:rsidP="00E226AF">
      <w:pPr>
        <w:tabs>
          <w:tab w:val="left" w:pos="2405"/>
        </w:tabs>
      </w:pPr>
      <w:r>
        <w:t xml:space="preserve">Figure </w:t>
      </w:r>
      <w:r w:rsidR="00D9740B">
        <w:t>13</w:t>
      </w:r>
      <w:r>
        <w:t>. History match for the Whole Field, Block E of Parrylands field.</w:t>
      </w:r>
    </w:p>
    <w:p w14:paraId="6627F5FC" w14:textId="77777777" w:rsidR="00E226AF" w:rsidRDefault="00E226AF" w:rsidP="00D20613">
      <w:pPr>
        <w:tabs>
          <w:tab w:val="left" w:pos="2405"/>
        </w:tabs>
      </w:pPr>
    </w:p>
    <w:p w14:paraId="077D995E" w14:textId="27C8FD9B" w:rsidR="00B3107C" w:rsidRDefault="00C13299" w:rsidP="00A8383F">
      <w:pPr>
        <w:tabs>
          <w:tab w:val="left" w:pos="2405"/>
        </w:tabs>
        <w:jc w:val="both"/>
      </w:pPr>
      <w:r>
        <w:t xml:space="preserve">GCA </w:t>
      </w:r>
      <w:r w:rsidR="00F1340A">
        <w:t xml:space="preserve">undertook many production simulation runs and </w:t>
      </w:r>
      <w:r>
        <w:t xml:space="preserve">made </w:t>
      </w:r>
      <w:r w:rsidR="00F1340A">
        <w:t>several</w:t>
      </w:r>
      <w:r>
        <w:t xml:space="preserve"> production projections as well as outlining key constraints on steam injection rates, identifying that the capacity of the reservoir to accept steam is an important issue to consider. GCA also offered </w:t>
      </w:r>
      <w:r w:rsidR="00F1340A">
        <w:t xml:space="preserve">many </w:t>
      </w:r>
      <w:r>
        <w:t xml:space="preserve">operational solutions to </w:t>
      </w:r>
      <w:r w:rsidR="00F1340A">
        <w:t>optimize incremental recovery</w:t>
      </w:r>
      <w:r w:rsidR="0093092C">
        <w:t xml:space="preserve"> </w:t>
      </w:r>
      <w:r w:rsidR="00DA679D">
        <w:t>however and</w:t>
      </w:r>
      <w:r w:rsidR="00F1340A">
        <w:t xml:space="preserve"> identified the orientation of steam injectors/producers (preferentially north-south</w:t>
      </w:r>
      <w:r w:rsidR="0093092C">
        <w:t xml:space="preserve"> oriented), capping injection pressures</w:t>
      </w:r>
      <w:r w:rsidR="00F1340A">
        <w:t xml:space="preserve"> </w:t>
      </w:r>
      <w:r w:rsidR="0093092C">
        <w:t xml:space="preserve">to avoid exceeding fracture gradients and undertake thermal surveillance to monitor steam chest </w:t>
      </w:r>
      <w:r w:rsidR="00260808">
        <w:t>development and adjust timing of completions and infill drilling.</w:t>
      </w:r>
    </w:p>
    <w:p w14:paraId="64B5F8E0" w14:textId="341993D9" w:rsidR="00DA679D" w:rsidRDefault="00DA679D" w:rsidP="00A8383F">
      <w:pPr>
        <w:tabs>
          <w:tab w:val="left" w:pos="2405"/>
        </w:tabs>
        <w:jc w:val="both"/>
      </w:pPr>
    </w:p>
    <w:p w14:paraId="52883E3E" w14:textId="5F96F0A8" w:rsidR="00B26778" w:rsidRDefault="00DA679D" w:rsidP="00A8383F">
      <w:pPr>
        <w:tabs>
          <w:tab w:val="left" w:pos="2405"/>
        </w:tabs>
        <w:jc w:val="both"/>
      </w:pPr>
      <w:r>
        <w:t>GCA also created an analytical model based on the Myhill-Stegemeier</w:t>
      </w:r>
      <w:r w:rsidR="00FB55A9">
        <w:t xml:space="preserve"> (M-S) correlation to investigate the potential production performance of the remaining reservoir area of Block E outside the south-central simulation area</w:t>
      </w:r>
      <w:r w:rsidR="00B073F2">
        <w:t>. CGA achieved a good correlation and concluded that the indicative recovery projections for the remainder of the field matched that of the simulated south-central area (GCA, 2008, p.</w:t>
      </w:r>
      <w:r w:rsidR="00D75A2C">
        <w:t xml:space="preserve"> 20).</w:t>
      </w:r>
      <w:r w:rsidR="00780C11">
        <w:t xml:space="preserve"> The oil rate projection for southern area of Block E is illustrated in figure 14 and the cumulative production forecast in figure 15. Similarly, t</w:t>
      </w:r>
      <w:r w:rsidR="00780C11">
        <w:t xml:space="preserve">he oil rate projection for </w:t>
      </w:r>
      <w:r w:rsidR="00780C11">
        <w:t>northern</w:t>
      </w:r>
      <w:r w:rsidR="00780C11">
        <w:t xml:space="preserve"> area of Block E is illustrated in figure 1</w:t>
      </w:r>
      <w:r w:rsidR="00780C11">
        <w:t>6</w:t>
      </w:r>
      <w:r w:rsidR="00780C11">
        <w:t xml:space="preserve"> and the cumulative production forecast in figure 1</w:t>
      </w:r>
      <w:r w:rsidR="00780C11">
        <w:t>7</w:t>
      </w:r>
      <w:r w:rsidR="00780C11">
        <w:t>.</w:t>
      </w:r>
    </w:p>
    <w:p w14:paraId="60732100" w14:textId="77777777" w:rsidR="00B26778" w:rsidRDefault="00B26778" w:rsidP="00A8383F">
      <w:pPr>
        <w:tabs>
          <w:tab w:val="left" w:pos="2405"/>
        </w:tabs>
        <w:jc w:val="both"/>
      </w:pPr>
    </w:p>
    <w:p w14:paraId="5449C9F1" w14:textId="0A01994B" w:rsidR="00DA679D" w:rsidRDefault="00B26778" w:rsidP="00A8383F">
      <w:pPr>
        <w:tabs>
          <w:tab w:val="left" w:pos="2405"/>
        </w:tabs>
        <w:jc w:val="both"/>
      </w:pPr>
      <w:r w:rsidRPr="009653CA">
        <w:rPr>
          <w:noProof/>
        </w:rPr>
        <w:lastRenderedPageBreak/>
        <w:drawing>
          <wp:inline distT="0" distB="0" distL="0" distR="0" wp14:anchorId="2F822B45" wp14:editId="77A2AF92">
            <wp:extent cx="5731510" cy="4605020"/>
            <wp:effectExtent l="0" t="0" r="2540" b="5080"/>
            <wp:docPr id="15" name="Picture 1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10;&#10;Description automatically generated"/>
                    <pic:cNvPicPr/>
                  </pic:nvPicPr>
                  <pic:blipFill>
                    <a:blip r:embed="rId28"/>
                    <a:stretch>
                      <a:fillRect/>
                    </a:stretch>
                  </pic:blipFill>
                  <pic:spPr>
                    <a:xfrm>
                      <a:off x="0" y="0"/>
                      <a:ext cx="5731510" cy="4605020"/>
                    </a:xfrm>
                    <a:prstGeom prst="rect">
                      <a:avLst/>
                    </a:prstGeom>
                  </pic:spPr>
                </pic:pic>
              </a:graphicData>
            </a:graphic>
          </wp:inline>
        </w:drawing>
      </w:r>
      <w:r w:rsidR="00FB55A9">
        <w:t xml:space="preserve"> </w:t>
      </w:r>
    </w:p>
    <w:p w14:paraId="2E49B78E" w14:textId="0F8D9488" w:rsidR="00007735" w:rsidRDefault="00007735" w:rsidP="00007735">
      <w:pPr>
        <w:tabs>
          <w:tab w:val="left" w:pos="2405"/>
        </w:tabs>
        <w:jc w:val="both"/>
      </w:pPr>
      <w:r w:rsidRPr="00780C11">
        <w:t>Figure 1</w:t>
      </w:r>
      <w:r w:rsidR="00780C11" w:rsidRPr="00780C11">
        <w:t>4</w:t>
      </w:r>
      <w:r w:rsidRPr="00780C11">
        <w:t>. Oil ra</w:t>
      </w:r>
      <w:r>
        <w:t>te projection for the southern area of Block E (GCA, 2008, p. 21).</w:t>
      </w:r>
    </w:p>
    <w:p w14:paraId="19565B77" w14:textId="20FF935D" w:rsidR="00007735" w:rsidRDefault="00007735" w:rsidP="00007735">
      <w:pPr>
        <w:tabs>
          <w:tab w:val="left" w:pos="2405"/>
        </w:tabs>
        <w:jc w:val="both"/>
      </w:pPr>
    </w:p>
    <w:p w14:paraId="07C513EE" w14:textId="5FB56BB3" w:rsidR="00007735" w:rsidRDefault="00007735" w:rsidP="00007735">
      <w:pPr>
        <w:tabs>
          <w:tab w:val="left" w:pos="2405"/>
        </w:tabs>
        <w:jc w:val="both"/>
      </w:pPr>
      <w:r w:rsidRPr="00124683">
        <w:rPr>
          <w:noProof/>
        </w:rPr>
        <w:lastRenderedPageBreak/>
        <w:drawing>
          <wp:inline distT="0" distB="0" distL="0" distR="0" wp14:anchorId="70956E5F" wp14:editId="32F1B69B">
            <wp:extent cx="5731510" cy="3637280"/>
            <wp:effectExtent l="0" t="0" r="2540" b="1270"/>
            <wp:docPr id="17" name="Picture 1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histogram&#10;&#10;Description automatically generated"/>
                    <pic:cNvPicPr/>
                  </pic:nvPicPr>
                  <pic:blipFill>
                    <a:blip r:embed="rId29"/>
                    <a:stretch>
                      <a:fillRect/>
                    </a:stretch>
                  </pic:blipFill>
                  <pic:spPr>
                    <a:xfrm>
                      <a:off x="0" y="0"/>
                      <a:ext cx="5731510" cy="3637280"/>
                    </a:xfrm>
                    <a:prstGeom prst="rect">
                      <a:avLst/>
                    </a:prstGeom>
                  </pic:spPr>
                </pic:pic>
              </a:graphicData>
            </a:graphic>
          </wp:inline>
        </w:drawing>
      </w:r>
    </w:p>
    <w:p w14:paraId="47A668C7" w14:textId="0B4C9D07" w:rsidR="00007735" w:rsidRDefault="00007735" w:rsidP="00007735">
      <w:pPr>
        <w:tabs>
          <w:tab w:val="left" w:pos="2405"/>
        </w:tabs>
        <w:jc w:val="both"/>
      </w:pPr>
      <w:r>
        <w:t xml:space="preserve">Figure </w:t>
      </w:r>
      <w:r w:rsidR="00780C11">
        <w:t>15</w:t>
      </w:r>
      <w:r>
        <w:t>. Cumulative production forecast for the southern area of Block E (GCA, 2008, p. 21).</w:t>
      </w:r>
    </w:p>
    <w:p w14:paraId="3893EA45" w14:textId="6C891786" w:rsidR="00007735" w:rsidRDefault="00007735" w:rsidP="00007735">
      <w:pPr>
        <w:tabs>
          <w:tab w:val="left" w:pos="2405"/>
        </w:tabs>
        <w:jc w:val="both"/>
      </w:pPr>
    </w:p>
    <w:p w14:paraId="625866AA" w14:textId="7167A14E" w:rsidR="00007735" w:rsidRDefault="00007735" w:rsidP="00007735">
      <w:pPr>
        <w:tabs>
          <w:tab w:val="left" w:pos="2405"/>
        </w:tabs>
        <w:jc w:val="both"/>
      </w:pPr>
      <w:r w:rsidRPr="00124683">
        <w:rPr>
          <w:noProof/>
        </w:rPr>
        <w:drawing>
          <wp:inline distT="0" distB="0" distL="0" distR="0" wp14:anchorId="3FA75EC5" wp14:editId="3D67E2CC">
            <wp:extent cx="5731510" cy="4481830"/>
            <wp:effectExtent l="0" t="0" r="2540" b="0"/>
            <wp:docPr id="18" name="Picture 1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10;&#10;Description automatically generated"/>
                    <pic:cNvPicPr/>
                  </pic:nvPicPr>
                  <pic:blipFill>
                    <a:blip r:embed="rId30"/>
                    <a:stretch>
                      <a:fillRect/>
                    </a:stretch>
                  </pic:blipFill>
                  <pic:spPr>
                    <a:xfrm>
                      <a:off x="0" y="0"/>
                      <a:ext cx="5731510" cy="4481830"/>
                    </a:xfrm>
                    <a:prstGeom prst="rect">
                      <a:avLst/>
                    </a:prstGeom>
                  </pic:spPr>
                </pic:pic>
              </a:graphicData>
            </a:graphic>
          </wp:inline>
        </w:drawing>
      </w:r>
    </w:p>
    <w:p w14:paraId="4934704A" w14:textId="18DF3E0C" w:rsidR="00007735" w:rsidRDefault="00007735" w:rsidP="00007735">
      <w:pPr>
        <w:tabs>
          <w:tab w:val="left" w:pos="2405"/>
        </w:tabs>
        <w:jc w:val="both"/>
      </w:pPr>
      <w:r w:rsidRPr="00780C11">
        <w:lastRenderedPageBreak/>
        <w:t xml:space="preserve">Figure </w:t>
      </w:r>
      <w:r w:rsidR="00780C11" w:rsidRPr="00780C11">
        <w:t>16</w:t>
      </w:r>
      <w:r w:rsidRPr="00780C11">
        <w:t>.</w:t>
      </w:r>
      <w:r>
        <w:t xml:space="preserve"> Oil rate projection for the north area of Block E (GCA, 2008, p. 21).</w:t>
      </w:r>
    </w:p>
    <w:p w14:paraId="72C22DE1" w14:textId="1E67136A" w:rsidR="00007735" w:rsidRDefault="00007735" w:rsidP="00007735">
      <w:pPr>
        <w:tabs>
          <w:tab w:val="left" w:pos="2405"/>
        </w:tabs>
        <w:jc w:val="both"/>
      </w:pPr>
    </w:p>
    <w:p w14:paraId="73609AF4" w14:textId="38FD5306" w:rsidR="00007735" w:rsidRDefault="00007735" w:rsidP="00007735">
      <w:pPr>
        <w:tabs>
          <w:tab w:val="left" w:pos="2405"/>
        </w:tabs>
        <w:jc w:val="both"/>
      </w:pPr>
      <w:r w:rsidRPr="00124683">
        <w:rPr>
          <w:noProof/>
        </w:rPr>
        <w:drawing>
          <wp:inline distT="0" distB="0" distL="0" distR="0" wp14:anchorId="22E62F27" wp14:editId="7268C93E">
            <wp:extent cx="5731510" cy="3852545"/>
            <wp:effectExtent l="0" t="0" r="2540" b="0"/>
            <wp:docPr id="22" name="Picture 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10;&#10;Description automatically generated"/>
                    <pic:cNvPicPr/>
                  </pic:nvPicPr>
                  <pic:blipFill>
                    <a:blip r:embed="rId31"/>
                    <a:stretch>
                      <a:fillRect/>
                    </a:stretch>
                  </pic:blipFill>
                  <pic:spPr>
                    <a:xfrm>
                      <a:off x="0" y="0"/>
                      <a:ext cx="5731510" cy="3852545"/>
                    </a:xfrm>
                    <a:prstGeom prst="rect">
                      <a:avLst/>
                    </a:prstGeom>
                  </pic:spPr>
                </pic:pic>
              </a:graphicData>
            </a:graphic>
          </wp:inline>
        </w:drawing>
      </w:r>
    </w:p>
    <w:p w14:paraId="7D678FFC" w14:textId="30CBAF3E" w:rsidR="00007735" w:rsidRDefault="00007735" w:rsidP="00007735">
      <w:pPr>
        <w:tabs>
          <w:tab w:val="left" w:pos="2405"/>
        </w:tabs>
        <w:jc w:val="both"/>
      </w:pPr>
      <w:r w:rsidRPr="00780C11">
        <w:t>Figure 1</w:t>
      </w:r>
      <w:r w:rsidR="00780C11" w:rsidRPr="00780C11">
        <w:t>7</w:t>
      </w:r>
      <w:r w:rsidRPr="00780C11">
        <w:t>. Cumulative</w:t>
      </w:r>
      <w:r>
        <w:t xml:space="preserve"> production forecast for the north area of Block E (GCA, 2008, p. 21).</w:t>
      </w:r>
    </w:p>
    <w:p w14:paraId="787153D5" w14:textId="77777777" w:rsidR="00B3107C" w:rsidRDefault="00B3107C" w:rsidP="00B3107C">
      <w:pPr>
        <w:tabs>
          <w:tab w:val="left" w:pos="2405"/>
        </w:tabs>
      </w:pPr>
    </w:p>
    <w:p w14:paraId="4B786865" w14:textId="6EF88886" w:rsidR="00B3107C" w:rsidRDefault="00A8383F" w:rsidP="00A8383F">
      <w:pPr>
        <w:pStyle w:val="Heading2"/>
      </w:pPr>
      <w:bookmarkStart w:id="20" w:name="_Toc109039047"/>
      <w:r>
        <w:t xml:space="preserve">GCA’s </w:t>
      </w:r>
      <w:r w:rsidR="00B3107C">
        <w:t>Reserve and Resource evaluation</w:t>
      </w:r>
      <w:r>
        <w:t xml:space="preserve"> in Block E at Parrylands field</w:t>
      </w:r>
      <w:bookmarkEnd w:id="20"/>
    </w:p>
    <w:p w14:paraId="6549B744" w14:textId="77777777" w:rsidR="00B3107C" w:rsidRDefault="00B3107C" w:rsidP="00B3107C">
      <w:pPr>
        <w:tabs>
          <w:tab w:val="left" w:pos="2405"/>
        </w:tabs>
      </w:pPr>
    </w:p>
    <w:p w14:paraId="4AF7B4BB" w14:textId="77777777" w:rsidR="00986600" w:rsidRDefault="00B3107C" w:rsidP="00A8383F">
      <w:pPr>
        <w:tabs>
          <w:tab w:val="left" w:pos="2405"/>
        </w:tabs>
        <w:jc w:val="both"/>
      </w:pPr>
      <w:r>
        <w:t xml:space="preserve">The dense </w:t>
      </w:r>
      <w:r w:rsidR="002D4661">
        <w:t>well control in</w:t>
      </w:r>
      <w:r>
        <w:t xml:space="preserve"> Parrylands Block E provides confidence </w:t>
      </w:r>
      <w:r w:rsidR="002D4661">
        <w:t xml:space="preserve">of </w:t>
      </w:r>
      <w:r>
        <w:t>reservoir quality</w:t>
      </w:r>
      <w:r w:rsidR="00986600">
        <w:t>, distribution</w:t>
      </w:r>
      <w:r>
        <w:t xml:space="preserve"> and thickness</w:t>
      </w:r>
      <w:r w:rsidR="002D4661">
        <w:t xml:space="preserve"> of the Forest Sandstone reservoir</w:t>
      </w:r>
      <w:r>
        <w:t xml:space="preserve">. </w:t>
      </w:r>
      <w:r w:rsidR="002D4661">
        <w:t>There is frequent faulting and some database-related issues regarding well path description i</w:t>
      </w:r>
      <w:r>
        <w:t>n the northern part of Block</w:t>
      </w:r>
      <w:r w:rsidR="002D4661">
        <w:t xml:space="preserve"> E</w:t>
      </w:r>
      <w:r w:rsidR="00986600">
        <w:t>, but</w:t>
      </w:r>
      <w:r>
        <w:t xml:space="preserve"> the sporadic occurrence of </w:t>
      </w:r>
      <w:r w:rsidR="00986600">
        <w:t xml:space="preserve">these </w:t>
      </w:r>
      <w:r>
        <w:t>well record inconsistencies does not present a significant risk for in place volume calculation</w:t>
      </w:r>
      <w:r w:rsidR="00A8383F">
        <w:t xml:space="preserve"> (GCA, 2008)</w:t>
      </w:r>
      <w:r w:rsidR="00986600">
        <w:t>. The dense vertical well flood pattern planned for the steam injection implementation will mitigate the</w:t>
      </w:r>
      <w:r>
        <w:t xml:space="preserve"> impact of the faulting and </w:t>
      </w:r>
      <w:r w:rsidR="00986600">
        <w:t xml:space="preserve">any </w:t>
      </w:r>
      <w:r>
        <w:t>stratigraphic complexity.</w:t>
      </w:r>
    </w:p>
    <w:p w14:paraId="10E886D7" w14:textId="77777777" w:rsidR="00986600" w:rsidRDefault="00986600" w:rsidP="00A8383F">
      <w:pPr>
        <w:tabs>
          <w:tab w:val="left" w:pos="2405"/>
        </w:tabs>
        <w:jc w:val="both"/>
      </w:pPr>
    </w:p>
    <w:p w14:paraId="68D33C8E" w14:textId="6E169244" w:rsidR="00AE7B7E" w:rsidRDefault="008A0632" w:rsidP="00A8383F">
      <w:pPr>
        <w:tabs>
          <w:tab w:val="left" w:pos="2405"/>
        </w:tabs>
        <w:jc w:val="both"/>
      </w:pPr>
      <w:r>
        <w:t>The</w:t>
      </w:r>
      <w:r w:rsidR="00B3107C">
        <w:t xml:space="preserve"> </w:t>
      </w:r>
      <w:r w:rsidR="00986600">
        <w:t xml:space="preserve">Petrotrin/Texaco </w:t>
      </w:r>
      <w:r w:rsidR="00B3107C">
        <w:t xml:space="preserve">steam pilot </w:t>
      </w:r>
      <w:r w:rsidR="00D304BD">
        <w:t xml:space="preserve">that is </w:t>
      </w:r>
      <w:r w:rsidR="00290E7C">
        <w:t xml:space="preserve">located </w:t>
      </w:r>
      <w:r>
        <w:t>just 660’ to the west of the Block E concession boundary</w:t>
      </w:r>
      <w:r w:rsidR="00D304BD">
        <w:t xml:space="preserve"> and that produced from almost identical reservoir and hydrocarbon characteristics</w:t>
      </w:r>
      <w:r>
        <w:t xml:space="preserve"> </w:t>
      </w:r>
      <w:r w:rsidR="00D304BD">
        <w:t>as in Block E</w:t>
      </w:r>
      <w:r w:rsidR="00290E7C">
        <w:t xml:space="preserve"> </w:t>
      </w:r>
      <w:r>
        <w:t xml:space="preserve">is a direct </w:t>
      </w:r>
      <w:r w:rsidR="00D304BD">
        <w:t xml:space="preserve">production </w:t>
      </w:r>
      <w:r>
        <w:t xml:space="preserve">analog </w:t>
      </w:r>
      <w:r w:rsidR="00EC3961">
        <w:t>enabling</w:t>
      </w:r>
      <w:r w:rsidR="00770F6A">
        <w:t xml:space="preserve"> confident prediction of </w:t>
      </w:r>
      <w:r w:rsidR="00841CFC">
        <w:t>a similar</w:t>
      </w:r>
      <w:r>
        <w:t xml:space="preserve"> production performance in</w:t>
      </w:r>
      <w:r w:rsidR="00290E7C">
        <w:t xml:space="preserve"> the south-central steam area of Block E</w:t>
      </w:r>
      <w:r w:rsidR="00770F6A">
        <w:t xml:space="preserve">. </w:t>
      </w:r>
      <w:r w:rsidR="00953059">
        <w:t xml:space="preserve">The Petrotrin/Texaco steam pilot produced 3 MMBO of the 6.1 MMBO in place at a recovery factor of 49% and reached a peak production rate of 750 bopd from 16 wells, a </w:t>
      </w:r>
      <w:r w:rsidR="00AE7B7E">
        <w:t xml:space="preserve">30-fold production increase from the 25 bopd </w:t>
      </w:r>
      <w:r w:rsidR="00841CFC">
        <w:t xml:space="preserve">pre-steam </w:t>
      </w:r>
      <w:r w:rsidR="00AE7B7E">
        <w:t>cold production.</w:t>
      </w:r>
      <w:r w:rsidR="00770F6A">
        <w:t xml:space="preserve"> </w:t>
      </w:r>
    </w:p>
    <w:p w14:paraId="7F6B916A" w14:textId="77777777" w:rsidR="00B3107C" w:rsidRDefault="00B3107C" w:rsidP="00A8383F">
      <w:pPr>
        <w:tabs>
          <w:tab w:val="left" w:pos="2405"/>
        </w:tabs>
        <w:jc w:val="both"/>
      </w:pPr>
    </w:p>
    <w:p w14:paraId="66E89847" w14:textId="508CC23B" w:rsidR="00156ECD" w:rsidRDefault="00FF6E22" w:rsidP="00156ECD">
      <w:pPr>
        <w:tabs>
          <w:tab w:val="left" w:pos="2405"/>
        </w:tabs>
        <w:jc w:val="both"/>
      </w:pPr>
      <w:r>
        <w:lastRenderedPageBreak/>
        <w:t>In Block E,</w:t>
      </w:r>
      <w:r w:rsidR="00B3107C">
        <w:t xml:space="preserve"> individual well productivity has been established through cold production</w:t>
      </w:r>
      <w:r w:rsidR="00156ECD">
        <w:t xml:space="preserve"> over the</w:t>
      </w:r>
      <w:r w:rsidR="00B3107C">
        <w:t xml:space="preserve"> years</w:t>
      </w:r>
      <w:r w:rsidR="00156ECD">
        <w:t xml:space="preserve"> and the wells</w:t>
      </w:r>
      <w:r w:rsidR="00B3107C">
        <w:t xml:space="preserve"> are equipped with progressing cavity pumps that are capable of operating with sand production</w:t>
      </w:r>
      <w:r w:rsidR="00156ECD">
        <w:t>. T</w:t>
      </w:r>
      <w:r w:rsidR="00B3107C">
        <w:t>he sand production is limited and not expected to increase with steam</w:t>
      </w:r>
      <w:r w:rsidR="00156ECD">
        <w:t xml:space="preserve"> injection because</w:t>
      </w:r>
      <w:r w:rsidR="00B3107C">
        <w:t xml:space="preserve"> high temperatures tend to stabilize fines and the lower</w:t>
      </w:r>
      <w:r w:rsidR="00156ECD">
        <w:t>ed</w:t>
      </w:r>
      <w:r w:rsidR="00B3107C">
        <w:t xml:space="preserve"> oil viscosity reduces the drag caused by oil flow.</w:t>
      </w:r>
      <w:r w:rsidR="00156ECD">
        <w:t xml:space="preserve"> The expected steam oil ratios based on the simulations are relatively low at a 3-4:1 range and could be potentially higher without diminishing the chances of commercial success. </w:t>
      </w:r>
      <w:r w:rsidR="00126952">
        <w:t>Fuel</w:t>
      </w:r>
      <w:r w:rsidR="00156ECD">
        <w:t xml:space="preserve"> cost</w:t>
      </w:r>
      <w:r w:rsidR="00126952">
        <w:t>s</w:t>
      </w:r>
      <w:r w:rsidR="00156ECD">
        <w:t xml:space="preserve"> in this project</w:t>
      </w:r>
      <w:r w:rsidR="00126952">
        <w:t xml:space="preserve"> are lowered because gas produced along with the oil (GOR is 50 Scf/Bbl) can be used as </w:t>
      </w:r>
      <w:r w:rsidR="009329AE">
        <w:t>lease</w:t>
      </w:r>
      <w:r w:rsidR="00126952">
        <w:t xml:space="preserve"> fuel in steam generation</w:t>
      </w:r>
      <w:r w:rsidR="00156ECD">
        <w:t>.</w:t>
      </w:r>
    </w:p>
    <w:p w14:paraId="47FFFB23" w14:textId="77777777" w:rsidR="00B3107C" w:rsidRDefault="00B3107C" w:rsidP="00A8383F">
      <w:pPr>
        <w:tabs>
          <w:tab w:val="left" w:pos="2405"/>
        </w:tabs>
        <w:jc w:val="both"/>
      </w:pPr>
    </w:p>
    <w:p w14:paraId="42524BE6" w14:textId="2F2315BB" w:rsidR="00B3107C" w:rsidRDefault="00353F20" w:rsidP="009329AE">
      <w:pPr>
        <w:pStyle w:val="Heading3"/>
      </w:pPr>
      <w:bookmarkStart w:id="21" w:name="_Toc109039048"/>
      <w:r>
        <w:t xml:space="preserve">GCA’s </w:t>
      </w:r>
      <w:r w:rsidR="000B138C">
        <w:t>E</w:t>
      </w:r>
      <w:r w:rsidR="00B3107C">
        <w:t xml:space="preserve">conomic </w:t>
      </w:r>
      <w:r w:rsidR="000B138C">
        <w:t>A</w:t>
      </w:r>
      <w:r w:rsidR="00B3107C">
        <w:t>ssumptions</w:t>
      </w:r>
      <w:bookmarkEnd w:id="21"/>
    </w:p>
    <w:p w14:paraId="6A369CC1" w14:textId="77777777" w:rsidR="00B3107C" w:rsidRDefault="00B3107C" w:rsidP="00A8383F">
      <w:pPr>
        <w:tabs>
          <w:tab w:val="left" w:pos="2405"/>
        </w:tabs>
        <w:jc w:val="both"/>
      </w:pPr>
    </w:p>
    <w:p w14:paraId="4C288F06" w14:textId="5E35052D" w:rsidR="00B3107C" w:rsidRDefault="00B3107C" w:rsidP="00A8383F">
      <w:pPr>
        <w:tabs>
          <w:tab w:val="left" w:pos="2405"/>
        </w:tabs>
        <w:jc w:val="both"/>
      </w:pPr>
      <w:r w:rsidRPr="00D75A2C">
        <w:t xml:space="preserve">The WTI oil price index </w:t>
      </w:r>
      <w:r w:rsidR="00D75A2C">
        <w:t>was</w:t>
      </w:r>
      <w:r w:rsidRPr="00D75A2C">
        <w:t xml:space="preserve"> used as a benchmark for oil price reference.  The historical oil sale prices in Block</w:t>
      </w:r>
      <w:r w:rsidR="00D75A2C">
        <w:t xml:space="preserve"> E</w:t>
      </w:r>
      <w:r w:rsidRPr="00D75A2C">
        <w:t xml:space="preserve"> have provided a basis to calculate the oil price differential to the WTI index.  In the final reserve estimate (</w:t>
      </w:r>
      <w:r w:rsidR="00D75A2C">
        <w:t xml:space="preserve">table </w:t>
      </w:r>
      <w:r w:rsidR="000B138C">
        <w:t>3</w:t>
      </w:r>
      <w:r w:rsidRPr="00D75A2C">
        <w:t xml:space="preserve">), GCA used the WTI forward strip as of December 31, 2008, as </w:t>
      </w:r>
      <w:r w:rsidR="00D75A2C">
        <w:t>the</w:t>
      </w:r>
      <w:r w:rsidRPr="00D75A2C">
        <w:t xml:space="preserve"> basis for forward price projection.</w:t>
      </w:r>
    </w:p>
    <w:p w14:paraId="7D074526" w14:textId="77777777" w:rsidR="00C27AF5" w:rsidRDefault="00C27AF5" w:rsidP="00A8383F">
      <w:pPr>
        <w:tabs>
          <w:tab w:val="left" w:pos="2405"/>
        </w:tabs>
        <w:jc w:val="both"/>
      </w:pPr>
    </w:p>
    <w:p w14:paraId="4B03BD22" w14:textId="2E7C096F" w:rsidR="00B3107C" w:rsidRDefault="00C27AF5" w:rsidP="00B3107C">
      <w:pPr>
        <w:tabs>
          <w:tab w:val="left" w:pos="2405"/>
        </w:tabs>
      </w:pPr>
      <w:r w:rsidRPr="00C27AF5">
        <w:rPr>
          <w:noProof/>
        </w:rPr>
        <w:drawing>
          <wp:inline distT="0" distB="0" distL="0" distR="0" wp14:anchorId="40322229" wp14:editId="3733DE84">
            <wp:extent cx="5731510" cy="3590925"/>
            <wp:effectExtent l="0" t="0" r="254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3590925"/>
                    </a:xfrm>
                    <a:prstGeom prst="rect">
                      <a:avLst/>
                    </a:prstGeom>
                  </pic:spPr>
                </pic:pic>
              </a:graphicData>
            </a:graphic>
          </wp:inline>
        </w:drawing>
      </w:r>
    </w:p>
    <w:p w14:paraId="6782BEB0" w14:textId="7503E2E3" w:rsidR="00C27AF5" w:rsidRDefault="00D75A2C" w:rsidP="00B3107C">
      <w:pPr>
        <w:tabs>
          <w:tab w:val="left" w:pos="2405"/>
        </w:tabs>
      </w:pPr>
      <w:r>
        <w:t xml:space="preserve">Table </w:t>
      </w:r>
      <w:r w:rsidR="000B138C">
        <w:t>3</w:t>
      </w:r>
      <w:r>
        <w:t xml:space="preserve">. </w:t>
      </w:r>
      <w:r w:rsidR="000B138C">
        <w:t xml:space="preserve">Remaining </w:t>
      </w:r>
      <w:r w:rsidR="005243CF">
        <w:t>hydrocarbon volume Parrylands Block E, Trinidad as of</w:t>
      </w:r>
      <w:r w:rsidR="005648C6">
        <w:t xml:space="preserve"> December 31, 2008.</w:t>
      </w:r>
    </w:p>
    <w:p w14:paraId="5D5C9275" w14:textId="77777777" w:rsidR="00C27AF5" w:rsidRDefault="00C27AF5" w:rsidP="00B3107C">
      <w:pPr>
        <w:tabs>
          <w:tab w:val="left" w:pos="2405"/>
        </w:tabs>
      </w:pPr>
    </w:p>
    <w:p w14:paraId="228A4B6B" w14:textId="509B8A63" w:rsidR="00C27AF5" w:rsidRDefault="00D75A2C" w:rsidP="00C27AF5">
      <w:pPr>
        <w:tabs>
          <w:tab w:val="left" w:pos="2405"/>
        </w:tabs>
        <w:jc w:val="both"/>
      </w:pPr>
      <w:r>
        <w:t>At the time of GCA’s report writing in December 2008 t</w:t>
      </w:r>
      <w:r w:rsidR="00C27AF5" w:rsidRPr="00D75A2C">
        <w:t xml:space="preserve">he average oil price (WTI) for the </w:t>
      </w:r>
      <w:r w:rsidR="00F71018">
        <w:t>preceding</w:t>
      </w:r>
      <w:r w:rsidR="00C27AF5" w:rsidRPr="00D75A2C">
        <w:t xml:space="preserve"> 12 months </w:t>
      </w:r>
      <w:r>
        <w:t>wa</w:t>
      </w:r>
      <w:r w:rsidR="00C27AF5" w:rsidRPr="00D75A2C">
        <w:t xml:space="preserve">s US$100/Bbl.  Recognizing that the oil prices were in a downward trend during the last 5 months, a lower price (US$48/Bbl) </w:t>
      </w:r>
      <w:r>
        <w:t>was</w:t>
      </w:r>
      <w:r w:rsidR="00C27AF5" w:rsidRPr="00D75A2C">
        <w:t xml:space="preserve"> used as a price sensitivity in a flat projection that </w:t>
      </w:r>
      <w:r>
        <w:t>wa</w:t>
      </w:r>
      <w:r w:rsidR="00C27AF5" w:rsidRPr="00D75A2C">
        <w:t xml:space="preserve">s close to </w:t>
      </w:r>
      <w:r w:rsidR="00C27AF5" w:rsidRPr="00D75A2C">
        <w:lastRenderedPageBreak/>
        <w:t xml:space="preserve">the prevailing prices </w:t>
      </w:r>
      <w:r>
        <w:t>at</w:t>
      </w:r>
      <w:r w:rsidR="00C27AF5" w:rsidRPr="00D75A2C">
        <w:t xml:space="preserve"> the time of th</w:t>
      </w:r>
      <w:r>
        <w:t>e</w:t>
      </w:r>
      <w:r w:rsidR="00C27AF5" w:rsidRPr="00D75A2C">
        <w:t xml:space="preserve"> study. Table</w:t>
      </w:r>
      <w:r>
        <w:t xml:space="preserve"> </w:t>
      </w:r>
      <w:r w:rsidR="000B138C">
        <w:t>4</w:t>
      </w:r>
      <w:r w:rsidR="00C27AF5" w:rsidRPr="00D75A2C">
        <w:t xml:space="preserve"> below illustrates that the difference in oil pricing affects the 1P category more than the other reserve and resource categories.</w:t>
      </w:r>
      <w:r w:rsidR="00C27AF5">
        <w:t xml:space="preserve">  </w:t>
      </w:r>
    </w:p>
    <w:p w14:paraId="1306A2DC" w14:textId="00A29390" w:rsidR="00C27AF5" w:rsidRDefault="00C27AF5" w:rsidP="00B3107C">
      <w:pPr>
        <w:tabs>
          <w:tab w:val="left" w:pos="2405"/>
        </w:tabs>
      </w:pPr>
    </w:p>
    <w:p w14:paraId="47C3A40A" w14:textId="25CF7795" w:rsidR="00B3107C" w:rsidRDefault="00C27AF5" w:rsidP="00B3107C">
      <w:pPr>
        <w:tabs>
          <w:tab w:val="left" w:pos="2405"/>
        </w:tabs>
      </w:pPr>
      <w:r w:rsidRPr="00C27AF5">
        <w:rPr>
          <w:noProof/>
        </w:rPr>
        <w:drawing>
          <wp:inline distT="0" distB="0" distL="0" distR="0" wp14:anchorId="1114533C" wp14:editId="4C1DC634">
            <wp:extent cx="5731510" cy="360299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3602990"/>
                    </a:xfrm>
                    <a:prstGeom prst="rect">
                      <a:avLst/>
                    </a:prstGeom>
                  </pic:spPr>
                </pic:pic>
              </a:graphicData>
            </a:graphic>
          </wp:inline>
        </w:drawing>
      </w:r>
      <w:r w:rsidR="00B3107C">
        <w:t xml:space="preserve">Table </w:t>
      </w:r>
      <w:r w:rsidR="000B138C">
        <w:t xml:space="preserve">4. </w:t>
      </w:r>
      <w:r w:rsidR="000B138C">
        <w:t>Price sensitivity using a flat oil price US$48/bbl (WTI). Reserve and Resource summary as of December 31, 2008.</w:t>
      </w:r>
    </w:p>
    <w:p w14:paraId="7C178A4B" w14:textId="1FFEDD11" w:rsidR="00B3107C" w:rsidRDefault="00B3107C" w:rsidP="00B3107C">
      <w:pPr>
        <w:tabs>
          <w:tab w:val="left" w:pos="2405"/>
        </w:tabs>
      </w:pPr>
    </w:p>
    <w:p w14:paraId="2E2166CB" w14:textId="06463F0B" w:rsidR="00B3107C" w:rsidRDefault="005648C6" w:rsidP="005648C6">
      <w:pPr>
        <w:tabs>
          <w:tab w:val="left" w:pos="2405"/>
        </w:tabs>
        <w:jc w:val="both"/>
      </w:pPr>
      <w:r>
        <w:t>GCA (2008) concluded that a</w:t>
      </w:r>
      <w:r w:rsidR="00B3107C">
        <w:t xml:space="preserve">t the US$48/Bbl WTI price level it is economic to produce the field with primary operations (1P case). Considering pricing sensitivities, it would be uneconomic to produce the field in these conditions at a (US$40/Bbl) WTI price, although the projected reserves of the thermal cases (2P and 3P) would not be affected much </w:t>
      </w:r>
      <w:r>
        <w:t>because</w:t>
      </w:r>
      <w:r w:rsidR="00B3107C">
        <w:t xml:space="preserve"> the projected incremental oil production is sufficient to compensate the cost of thermal development and the respective operating expenses.</w:t>
      </w:r>
    </w:p>
    <w:p w14:paraId="527143D9" w14:textId="77777777" w:rsidR="00B3107C" w:rsidRDefault="00B3107C" w:rsidP="005648C6">
      <w:pPr>
        <w:tabs>
          <w:tab w:val="left" w:pos="2405"/>
        </w:tabs>
        <w:jc w:val="both"/>
      </w:pPr>
    </w:p>
    <w:p w14:paraId="5E44CE52" w14:textId="59A0EAFC" w:rsidR="00B3107C" w:rsidRDefault="00B3107C" w:rsidP="005648C6">
      <w:pPr>
        <w:tabs>
          <w:tab w:val="left" w:pos="2405"/>
        </w:tabs>
        <w:jc w:val="both"/>
      </w:pPr>
      <w:r>
        <w:t>The CAPEX requirements to drill 25 new injection wells is based on NHE’s estimates of US$4.2 million (US$0.17 million per well).  NHE owns an oil rig</w:t>
      </w:r>
      <w:r w:rsidR="00E3762D">
        <w:t xml:space="preserve"> that</w:t>
      </w:r>
      <w:r>
        <w:t xml:space="preserve"> was originally outfitted in Trinidad and was used by NHE to drill the 24 new injectors. NHE provided a cost estimate for the uphole recompletion at US$21,000 per well.  A more conservative value of US$25,000 per well was adopted by GCA.</w:t>
      </w:r>
    </w:p>
    <w:p w14:paraId="10AC0E9C" w14:textId="77777777" w:rsidR="00B3107C" w:rsidRDefault="00B3107C" w:rsidP="005648C6">
      <w:pPr>
        <w:tabs>
          <w:tab w:val="left" w:pos="2405"/>
        </w:tabs>
        <w:jc w:val="both"/>
      </w:pPr>
    </w:p>
    <w:p w14:paraId="33B942F3" w14:textId="41608926" w:rsidR="00B3107C" w:rsidRDefault="00B3107C" w:rsidP="005648C6">
      <w:pPr>
        <w:tabs>
          <w:tab w:val="left" w:pos="2405"/>
        </w:tabs>
        <w:jc w:val="both"/>
      </w:pPr>
      <w:r>
        <w:t xml:space="preserve">There will be no additional CAPEX costs for steam generation. There are two units in operation that have a 5,500 BSPD steam generation capacity, a standard 50,000 MMBTU/hr unit and a smaller unit rated at 20,000 MMBTU/hr.  A new 50 MMBTU/hr unit will be required for the expansion of the project to the South area.  The cost estimate given by NHE was US$600,000 for refurbishing an old generator.  </w:t>
      </w:r>
      <w:r>
        <w:lastRenderedPageBreak/>
        <w:t>GCA used a figure of US$1,300,000 under the more conservative assumption for procurement from North America (US or Canada) and shipment to Trinidad.</w:t>
      </w:r>
    </w:p>
    <w:p w14:paraId="6BB99C84" w14:textId="77777777" w:rsidR="00B3107C" w:rsidRDefault="00B3107C" w:rsidP="005648C6">
      <w:pPr>
        <w:tabs>
          <w:tab w:val="left" w:pos="2405"/>
        </w:tabs>
        <w:jc w:val="both"/>
      </w:pPr>
    </w:p>
    <w:p w14:paraId="4AB67175" w14:textId="2F7A4A20" w:rsidR="00B3107C" w:rsidRDefault="00B3107C" w:rsidP="005648C6">
      <w:pPr>
        <w:tabs>
          <w:tab w:val="left" w:pos="2405"/>
        </w:tabs>
        <w:jc w:val="both"/>
      </w:pPr>
      <w:r>
        <w:t xml:space="preserve">The OPEX estimates are based on present costs that are about US$70,000/month.  These costs are covering operations except gas fuel used from steam generation.  With the addition of new wells, this cost is assumed to increase </w:t>
      </w:r>
      <w:r w:rsidR="00E3762D">
        <w:t>proportionally,</w:t>
      </w:r>
      <w:r>
        <w:t xml:space="preserve"> and a 30% increase is expected to occur by the initiation of thermal operations </w:t>
      </w:r>
      <w:r w:rsidR="00E3762D">
        <w:t>to</w:t>
      </w:r>
      <w:r>
        <w:t xml:space="preserve"> account for increased field and surveillance activity. The steam generation cost is mainly driven by the price for fuel gas and the cost of water treatment. The fuel gas cost is provided from existing agreements between NHE and Petrotrin which is US$1.50/Mcf escalated at 1% pa. It is estimated that about 0.5 Mcf will be required to produce 1.0 Bbl of steam.</w:t>
      </w:r>
      <w:r w:rsidR="00E3762D">
        <w:t xml:space="preserve"> </w:t>
      </w:r>
      <w:r>
        <w:t>The water treatment cost is estimated at US$0.30/Bbl based on typical steam operation costs.</w:t>
      </w:r>
    </w:p>
    <w:p w14:paraId="542B78EF" w14:textId="77777777" w:rsidR="00B3107C" w:rsidRDefault="00B3107C" w:rsidP="00B3107C">
      <w:pPr>
        <w:tabs>
          <w:tab w:val="left" w:pos="2405"/>
        </w:tabs>
      </w:pPr>
    </w:p>
    <w:p w14:paraId="22CB4417" w14:textId="2C2DC413" w:rsidR="00B3107C" w:rsidRDefault="00B3107C" w:rsidP="009653CA">
      <w:pPr>
        <w:pStyle w:val="Heading2"/>
      </w:pPr>
      <w:bookmarkStart w:id="22" w:name="_Toc109039049"/>
      <w:r>
        <w:t>Reserve and Resource Classification</w:t>
      </w:r>
      <w:r w:rsidR="007732EA">
        <w:t xml:space="preserve"> (GCA, 2008)</w:t>
      </w:r>
      <w:bookmarkEnd w:id="22"/>
    </w:p>
    <w:p w14:paraId="6AFFE2F8" w14:textId="77777777" w:rsidR="00B3107C" w:rsidRDefault="00B3107C" w:rsidP="00B3107C">
      <w:pPr>
        <w:tabs>
          <w:tab w:val="left" w:pos="2405"/>
        </w:tabs>
      </w:pPr>
    </w:p>
    <w:p w14:paraId="3120F11B" w14:textId="078167E9" w:rsidR="004F3891" w:rsidRDefault="00EB2668" w:rsidP="004F3891">
      <w:pPr>
        <w:tabs>
          <w:tab w:val="left" w:pos="2405"/>
        </w:tabs>
        <w:jc w:val="both"/>
      </w:pPr>
      <w:r>
        <w:t>The following section on reserve and resource classification is reproduced almost verbatim from GCA’s 2008 report with modifications made only for new operational work since undertaken by N</w:t>
      </w:r>
      <w:r w:rsidR="00F87604">
        <w:t>HE</w:t>
      </w:r>
      <w:r>
        <w:t xml:space="preserve">. </w:t>
      </w:r>
      <w:r w:rsidR="00B3107C">
        <w:t xml:space="preserve">The existing cold production is well established </w:t>
      </w:r>
      <w:r w:rsidR="009653CA">
        <w:t xml:space="preserve">at Block E </w:t>
      </w:r>
      <w:r w:rsidR="00B3107C">
        <w:t>and provides a basis for allocation of certain volumes as Proved Reserve.  The decline observed and expected is low given the large oil in place and the low-pressure drawdown experienced. The projection was made using the full field simulation model up to 2031. It was extrapolated beyond that using an exponential decline.  Higher oil production rates co</w:t>
      </w:r>
      <w:r w:rsidR="00DA76B4">
        <w:t>u</w:t>
      </w:r>
      <w:r w:rsidR="00B3107C">
        <w:t>ld be possible by increasing pump speed and lowering the bottom-ho</w:t>
      </w:r>
      <w:r w:rsidR="009653CA">
        <w:t>l</w:t>
      </w:r>
      <w:r w:rsidR="00B3107C">
        <w:t xml:space="preserve">e pressure, but that would carry the potential risk of increased sand production and increased water cut by water coning.  GCA did not </w:t>
      </w:r>
      <w:r w:rsidR="00B3107C" w:rsidRPr="004F3891">
        <w:t xml:space="preserve">attribute any reserve estimates to the shut-in wells </w:t>
      </w:r>
      <w:r w:rsidR="003679D5" w:rsidRPr="004F3891">
        <w:t xml:space="preserve">in 2008 </w:t>
      </w:r>
      <w:r w:rsidR="00B3107C" w:rsidRPr="004F3891">
        <w:t>as proved not producing or proved undeveloped</w:t>
      </w:r>
      <w:r w:rsidR="007732EA" w:rsidRPr="004F3891">
        <w:t xml:space="preserve">. </w:t>
      </w:r>
      <w:r w:rsidR="003679D5" w:rsidRPr="004F3891">
        <w:t xml:space="preserve">NHE has </w:t>
      </w:r>
      <w:r w:rsidR="004F3891" w:rsidRPr="004F3891">
        <w:t>drilled an additional 3</w:t>
      </w:r>
      <w:r w:rsidR="00694D34">
        <w:t>2</w:t>
      </w:r>
      <w:r w:rsidR="004F3891" w:rsidRPr="004F3891">
        <w:t xml:space="preserve"> wells in the north part of the field since 2008 </w:t>
      </w:r>
      <w:r w:rsidR="00343C6F">
        <w:t xml:space="preserve">(figure </w:t>
      </w:r>
      <w:r w:rsidR="00C821D7">
        <w:t>1</w:t>
      </w:r>
      <w:r w:rsidR="005B2AE9">
        <w:t>8</w:t>
      </w:r>
      <w:r w:rsidR="00343C6F">
        <w:t xml:space="preserve">) </w:t>
      </w:r>
      <w:r w:rsidR="004F3891" w:rsidRPr="004F3891">
        <w:t>and produced an estimated 500,000 barrels on cold production from the northern half of Block E</w:t>
      </w:r>
      <w:r w:rsidR="00220F62">
        <w:t xml:space="preserve"> (</w:t>
      </w:r>
      <w:r w:rsidR="004F3891">
        <w:t xml:space="preserve">Greg </w:t>
      </w:r>
      <w:r w:rsidR="00A7055D">
        <w:t>B</w:t>
      </w:r>
      <w:r w:rsidR="004F3891">
        <w:t>oyle</w:t>
      </w:r>
      <w:r w:rsidR="00A7055D">
        <w:t>s</w:t>
      </w:r>
      <w:r w:rsidR="00220F62">
        <w:t>, Founder</w:t>
      </w:r>
      <w:r w:rsidR="00F87604">
        <w:t xml:space="preserve"> and CEO</w:t>
      </w:r>
      <w:r w:rsidR="00220F62">
        <w:t xml:space="preserve"> of NHE</w:t>
      </w:r>
      <w:r w:rsidR="004F3891">
        <w:t>, personal communication, July 2022)</w:t>
      </w:r>
      <w:r w:rsidR="004F3891" w:rsidRPr="004F3891">
        <w:t>.</w:t>
      </w:r>
    </w:p>
    <w:p w14:paraId="4C8415EB" w14:textId="0249BD4E" w:rsidR="00343C6F" w:rsidRDefault="00343C6F" w:rsidP="004F3891">
      <w:pPr>
        <w:tabs>
          <w:tab w:val="left" w:pos="2405"/>
        </w:tabs>
        <w:jc w:val="both"/>
      </w:pPr>
    </w:p>
    <w:p w14:paraId="61F00026" w14:textId="31F7A0CA" w:rsidR="00343C6F" w:rsidRDefault="003D25FA" w:rsidP="004F3891">
      <w:pPr>
        <w:tabs>
          <w:tab w:val="left" w:pos="2405"/>
        </w:tabs>
        <w:jc w:val="both"/>
      </w:pPr>
      <w:r>
        <w:rPr>
          <w:noProof/>
        </w:rPr>
        <w:lastRenderedPageBreak/>
        <w:drawing>
          <wp:inline distT="0" distB="0" distL="0" distR="0" wp14:anchorId="03E02FF1" wp14:editId="174C3BF6">
            <wp:extent cx="5731510" cy="3903345"/>
            <wp:effectExtent l="0" t="0" r="254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4"/>
                    <a:stretch>
                      <a:fillRect/>
                    </a:stretch>
                  </pic:blipFill>
                  <pic:spPr>
                    <a:xfrm>
                      <a:off x="0" y="0"/>
                      <a:ext cx="5731510" cy="3903345"/>
                    </a:xfrm>
                    <a:prstGeom prst="rect">
                      <a:avLst/>
                    </a:prstGeom>
                  </pic:spPr>
                </pic:pic>
              </a:graphicData>
            </a:graphic>
          </wp:inline>
        </w:drawing>
      </w:r>
    </w:p>
    <w:p w14:paraId="4BD7D96E" w14:textId="665184BA" w:rsidR="009653CA" w:rsidRDefault="003D25FA" w:rsidP="009653CA">
      <w:pPr>
        <w:tabs>
          <w:tab w:val="left" w:pos="2405"/>
        </w:tabs>
        <w:jc w:val="both"/>
      </w:pPr>
      <w:r>
        <w:t xml:space="preserve">Figure </w:t>
      </w:r>
      <w:r w:rsidR="00C821D7">
        <w:t>1</w:t>
      </w:r>
      <w:r w:rsidR="005B2AE9">
        <w:t>8</w:t>
      </w:r>
      <w:r>
        <w:t>. Wells drilled by New Horizon since 2008 in the north part of Block E Parrylands field.</w:t>
      </w:r>
    </w:p>
    <w:p w14:paraId="08354477" w14:textId="77777777" w:rsidR="00124683" w:rsidRDefault="00124683" w:rsidP="009653CA">
      <w:pPr>
        <w:tabs>
          <w:tab w:val="left" w:pos="2405"/>
        </w:tabs>
        <w:jc w:val="both"/>
      </w:pPr>
    </w:p>
    <w:p w14:paraId="31A35B8E" w14:textId="09546E3D" w:rsidR="00B3107C" w:rsidRDefault="00B3107C" w:rsidP="009653CA">
      <w:pPr>
        <w:tabs>
          <w:tab w:val="left" w:pos="2405"/>
        </w:tabs>
        <w:jc w:val="both"/>
      </w:pPr>
      <w:r>
        <w:t>The implementation of the steam injection using vertical patterns has a high likelihood to be successful as the methodology has already been demonstrated in the Petrotrin pilot.  The analytical and numerical models confirm these expectations and provide a basis for a best estimate that is considered as the 2P scenario.  That is based on the simulation results of simulation Case 8</w:t>
      </w:r>
      <w:r w:rsidR="003679D5">
        <w:t xml:space="preserve"> (GCA, 2008, p. 18)</w:t>
      </w:r>
      <w:r>
        <w:t xml:space="preserve"> that have been extrapolated beyond 2031 up to 2051 using exponential decline.  A fair geological description and incorporation of core and fluid analysis and the results of sensitivities that involve other parameters contribute to the reasonableness of this type of estimate.  As there are no established records that would allow a history match of the thermal model, this estimate would not represent a level of certainty that could be characterized as proved.</w:t>
      </w:r>
    </w:p>
    <w:p w14:paraId="62FC378B" w14:textId="77777777" w:rsidR="00B3107C" w:rsidRDefault="00B3107C" w:rsidP="00B3107C">
      <w:pPr>
        <w:tabs>
          <w:tab w:val="left" w:pos="2405"/>
        </w:tabs>
      </w:pPr>
    </w:p>
    <w:p w14:paraId="00EBAAFD" w14:textId="35887513" w:rsidR="00B3107C" w:rsidRDefault="00B3107C" w:rsidP="003679D5">
      <w:pPr>
        <w:tabs>
          <w:tab w:val="left" w:pos="2405"/>
        </w:tabs>
        <w:jc w:val="both"/>
      </w:pPr>
      <w:r>
        <w:t>A further expansion of the existing patterns into the surrounding area in the south provides the basis for a 3P estimate.</w:t>
      </w:r>
      <w:r w:rsidR="00EB2668">
        <w:t xml:space="preserve"> </w:t>
      </w:r>
      <w:r>
        <w:t>In that case, the analytical tool that was tuned to both the historical pilot performance data and the simulation data provides a credible basis for this higher outcome estimate.</w:t>
      </w:r>
    </w:p>
    <w:p w14:paraId="6C0B5711" w14:textId="77777777" w:rsidR="00B3107C" w:rsidRDefault="00B3107C" w:rsidP="00B3107C">
      <w:pPr>
        <w:tabs>
          <w:tab w:val="left" w:pos="2405"/>
        </w:tabs>
      </w:pPr>
    </w:p>
    <w:p w14:paraId="38EA42F6" w14:textId="154223ED" w:rsidR="00B3107C" w:rsidRDefault="00B3107C" w:rsidP="00551612">
      <w:pPr>
        <w:tabs>
          <w:tab w:val="left" w:pos="2405"/>
        </w:tabs>
        <w:jc w:val="both"/>
      </w:pPr>
      <w:r>
        <w:t xml:space="preserve">An expansion of the thermal development to the northern part of the field is more dependent on formulating the development plan required to drill the necessary wells.  A number of the existing producers can be used as take points, but certainly more producers will be needed </w:t>
      </w:r>
      <w:r w:rsidR="00551612">
        <w:t>to</w:t>
      </w:r>
      <w:r>
        <w:t xml:space="preserve"> provide regular patterns.  The geological description in that part of the Block is more convoluted and newer well data would contribute to improving the mapping quality. Therefore, the thermal expansion to the Northern </w:t>
      </w:r>
      <w:r>
        <w:lastRenderedPageBreak/>
        <w:t>part of the field would result to additional recoverable volumes that are classified for the time being as Contingent Resources. The main contingency is the formulation of a development plan in this are</w:t>
      </w:r>
      <w:r w:rsidR="00EB2668">
        <w:t>a</w:t>
      </w:r>
      <w:r>
        <w:t xml:space="preserve"> and the improvement of geological mapping.</w:t>
      </w:r>
    </w:p>
    <w:p w14:paraId="0BF6069A" w14:textId="77777777" w:rsidR="00551612" w:rsidRDefault="00551612" w:rsidP="00551612">
      <w:pPr>
        <w:tabs>
          <w:tab w:val="left" w:pos="2405"/>
        </w:tabs>
        <w:jc w:val="both"/>
      </w:pPr>
    </w:p>
    <w:p w14:paraId="7ACB3D06" w14:textId="0524EF5C" w:rsidR="00551612" w:rsidRDefault="00551612" w:rsidP="00551612">
      <w:pPr>
        <w:pStyle w:val="Heading1"/>
      </w:pPr>
      <w:bookmarkStart w:id="23" w:name="_Toc109039050"/>
      <w:r>
        <w:t xml:space="preserve">Next Phase of Proposed </w:t>
      </w:r>
      <w:r w:rsidR="00F444FE">
        <w:t>Development</w:t>
      </w:r>
      <w:r>
        <w:t xml:space="preserve"> at Block E, Parrylands Field</w:t>
      </w:r>
      <w:bookmarkEnd w:id="23"/>
    </w:p>
    <w:p w14:paraId="0C890002" w14:textId="77777777" w:rsidR="00D20613" w:rsidRDefault="00D20613" w:rsidP="00D20613">
      <w:pPr>
        <w:tabs>
          <w:tab w:val="left" w:pos="2405"/>
        </w:tabs>
      </w:pPr>
    </w:p>
    <w:p w14:paraId="516D696A" w14:textId="431758AD" w:rsidR="00F444FE" w:rsidRDefault="00551612" w:rsidP="00D870C1">
      <w:pPr>
        <w:tabs>
          <w:tab w:val="left" w:pos="2405"/>
        </w:tabs>
        <w:spacing w:after="160" w:line="256" w:lineRule="auto"/>
        <w:jc w:val="both"/>
      </w:pPr>
      <w:r>
        <w:t xml:space="preserve">Greenflame </w:t>
      </w:r>
      <w:r w:rsidR="00E24BF0">
        <w:t>Energy Inc</w:t>
      </w:r>
      <w:r>
        <w:t xml:space="preserve"> </w:t>
      </w:r>
      <w:r w:rsidR="00A579B3">
        <w:t>has a production sharing agreement with N</w:t>
      </w:r>
      <w:r w:rsidR="00F87604">
        <w:t>HE</w:t>
      </w:r>
      <w:r>
        <w:t xml:space="preserve"> and </w:t>
      </w:r>
      <w:r w:rsidR="00D870C1">
        <w:t xml:space="preserve">is embarking on an aggressive development program implementing new </w:t>
      </w:r>
      <w:r w:rsidR="00354EC0">
        <w:t>E</w:t>
      </w:r>
      <w:r w:rsidR="00581CDC">
        <w:t xml:space="preserve">nhanced </w:t>
      </w:r>
      <w:r w:rsidR="00354EC0">
        <w:t>O</w:t>
      </w:r>
      <w:r w:rsidR="00581CDC">
        <w:t xml:space="preserve">il </w:t>
      </w:r>
      <w:r w:rsidR="00354EC0">
        <w:t>R</w:t>
      </w:r>
      <w:r w:rsidR="00581CDC">
        <w:t xml:space="preserve">ecovery </w:t>
      </w:r>
      <w:r w:rsidR="00F444FE">
        <w:t xml:space="preserve">(EOR) </w:t>
      </w:r>
      <w:r w:rsidR="00D870C1">
        <w:t>technologies to exploit the 81 MMBO in place in Block E of the Parrylands field</w:t>
      </w:r>
      <w:r w:rsidR="00581CDC">
        <w:t xml:space="preserve">. The field </w:t>
      </w:r>
      <w:r w:rsidR="00BD1A5D">
        <w:t xml:space="preserve">historically has </w:t>
      </w:r>
      <w:r w:rsidR="00A579B3">
        <w:t>cumulative production</w:t>
      </w:r>
      <w:r w:rsidR="00BD1A5D">
        <w:t xml:space="preserve"> on the order of </w:t>
      </w:r>
      <w:r w:rsidR="008B7760">
        <w:t>68</w:t>
      </w:r>
      <w:r w:rsidR="00BD1A5D">
        <w:t xml:space="preserve">0,000 barrels on cold production, less than 1% of the oil in place, </w:t>
      </w:r>
      <w:r w:rsidR="00F444FE">
        <w:t xml:space="preserve">and </w:t>
      </w:r>
      <w:r w:rsidR="00581CDC">
        <w:t xml:space="preserve">currently </w:t>
      </w:r>
      <w:r w:rsidR="00581CDC" w:rsidRPr="00F444FE">
        <w:t xml:space="preserve">produces </w:t>
      </w:r>
      <w:r w:rsidR="00F444FE" w:rsidRPr="00F444FE">
        <w:t>approximately</w:t>
      </w:r>
      <w:r w:rsidR="00581CDC" w:rsidRPr="00F444FE">
        <w:t xml:space="preserve"> 160 bopd on cold production from 30 wells</w:t>
      </w:r>
      <w:r w:rsidR="00F444FE" w:rsidRPr="00F444FE">
        <w:t>.</w:t>
      </w:r>
      <w:r w:rsidR="006B7E4E" w:rsidRPr="00F444FE">
        <w:t xml:space="preserve"> </w:t>
      </w:r>
      <w:r w:rsidR="00F444FE" w:rsidRPr="00F444FE">
        <w:t>T</w:t>
      </w:r>
      <w:r w:rsidR="00581CDC" w:rsidRPr="00F444FE">
        <w:t>here are 110 existing wells drilled in the concession</w:t>
      </w:r>
      <w:r w:rsidR="006B7E4E" w:rsidRPr="00F444FE">
        <w:t xml:space="preserve"> </w:t>
      </w:r>
      <w:r w:rsidR="00F444FE" w:rsidRPr="00F444FE">
        <w:t xml:space="preserve">that are </w:t>
      </w:r>
      <w:r w:rsidR="006B7E4E" w:rsidRPr="00F444FE">
        <w:t>ready for</w:t>
      </w:r>
      <w:r w:rsidR="00F444FE" w:rsidRPr="00F444FE">
        <w:t xml:space="preserve"> immediate implementation of the planned EOR program</w:t>
      </w:r>
      <w:r w:rsidR="0096050F">
        <w:t xml:space="preserve"> and the project is fully permitted</w:t>
      </w:r>
      <w:r w:rsidR="00E24BF0">
        <w:t>. The base huff and puff schedule is outlined in the accompanying excel spreadsheet “Trinidad Economic Model”</w:t>
      </w:r>
      <w:r w:rsidR="00F444FE" w:rsidRPr="00F444FE">
        <w:t>.</w:t>
      </w:r>
      <w:r w:rsidR="00A579B3">
        <w:t xml:space="preserve"> Infrastructure</w:t>
      </w:r>
      <w:r w:rsidR="00230C95">
        <w:t xml:space="preserve"> of power, roads, water and worker accommodations are all in place. There is a direct pipeline from the Block E concession to the local Petrotrin refinery located 15 miles from the property</w:t>
      </w:r>
      <w:r w:rsidR="00354EC0">
        <w:t xml:space="preserve"> (figure 1)</w:t>
      </w:r>
      <w:r w:rsidR="00230C95">
        <w:t xml:space="preserve"> and the refinery is currently working at only 67% capacity.</w:t>
      </w:r>
      <w:r w:rsidR="004556DE">
        <w:t xml:space="preserve"> </w:t>
      </w:r>
      <w:r w:rsidR="00EA6197">
        <w:t>The concession is also 5 miles from the Atlantic LNG Plant with 7 MMSCF/day of pure CO</w:t>
      </w:r>
      <w:r w:rsidR="00EA6197" w:rsidRPr="00EA6197">
        <w:rPr>
          <w:vertAlign w:val="subscript"/>
        </w:rPr>
        <w:t>2</w:t>
      </w:r>
      <w:r w:rsidR="00EA6197">
        <w:t xml:space="preserve"> available for EOR and sequestration. </w:t>
      </w:r>
      <w:r w:rsidR="004556DE">
        <w:t>There is a strong in-Country operating team with uninterrupted business continuity for almost 20 years with local knowledge as well as government and regulatory relations at multiple layers.</w:t>
      </w:r>
    </w:p>
    <w:p w14:paraId="4E7B81FA" w14:textId="73364555" w:rsidR="00B939E3" w:rsidRDefault="00B939E3" w:rsidP="00D870C1">
      <w:pPr>
        <w:tabs>
          <w:tab w:val="left" w:pos="2405"/>
        </w:tabs>
        <w:spacing w:after="160" w:line="256" w:lineRule="auto"/>
        <w:jc w:val="both"/>
      </w:pPr>
    </w:p>
    <w:p w14:paraId="040ED534" w14:textId="4C5B44ED" w:rsidR="00B939E3" w:rsidRDefault="005F2A75" w:rsidP="00D870C1">
      <w:pPr>
        <w:tabs>
          <w:tab w:val="left" w:pos="2405"/>
        </w:tabs>
        <w:spacing w:after="160" w:line="256" w:lineRule="auto"/>
        <w:jc w:val="both"/>
      </w:pPr>
      <w:r>
        <w:t xml:space="preserve">Trinidad &amp; Tobago (T&amp;T) is the 4th largest per capita carbon emitter in the world at 25.4 MT per person/annum. </w:t>
      </w:r>
      <w:r w:rsidR="00B939E3">
        <w:t xml:space="preserve">The vast majority of </w:t>
      </w:r>
      <w:r>
        <w:t>T&amp;T’s</w:t>
      </w:r>
      <w:r w:rsidR="00B939E3">
        <w:t xml:space="preserve"> CO</w:t>
      </w:r>
      <w:r w:rsidR="00B939E3" w:rsidRPr="00F331A0">
        <w:rPr>
          <w:vertAlign w:val="subscript"/>
        </w:rPr>
        <w:t>2</w:t>
      </w:r>
      <w:r w:rsidR="00B939E3">
        <w:t xml:space="preserve"> </w:t>
      </w:r>
      <w:r>
        <w:t xml:space="preserve">emissions </w:t>
      </w:r>
      <w:r w:rsidR="00B939E3">
        <w:t>comes from the LNG plants</w:t>
      </w:r>
      <w:r>
        <w:t>.</w:t>
      </w:r>
      <w:r w:rsidR="00B939E3">
        <w:t xml:space="preserve"> Th</w:t>
      </w:r>
      <w:r>
        <w:t>e</w:t>
      </w:r>
      <w:r w:rsidR="00B939E3">
        <w:t xml:space="preserve"> CO</w:t>
      </w:r>
      <w:r w:rsidR="00B939E3" w:rsidRPr="00F331A0">
        <w:rPr>
          <w:vertAlign w:val="subscript"/>
        </w:rPr>
        <w:t>2</w:t>
      </w:r>
      <w:r w:rsidR="00B939E3">
        <w:t xml:space="preserve"> is essentially Pure CO</w:t>
      </w:r>
      <w:r w:rsidR="00B939E3" w:rsidRPr="00F331A0">
        <w:rPr>
          <w:vertAlign w:val="subscript"/>
        </w:rPr>
        <w:t>2</w:t>
      </w:r>
      <w:r w:rsidR="00B939E3">
        <w:t xml:space="preserve"> </w:t>
      </w:r>
      <w:r>
        <w:t xml:space="preserve">which </w:t>
      </w:r>
      <w:r w:rsidR="00B939E3">
        <w:t>means</w:t>
      </w:r>
      <w:r>
        <w:t xml:space="preserve"> there are</w:t>
      </w:r>
      <w:r w:rsidR="00B939E3">
        <w:t xml:space="preserve"> no capture costs</w:t>
      </w:r>
      <w:r w:rsidR="004F1254">
        <w:t>.</w:t>
      </w:r>
      <w:r w:rsidR="00B939E3">
        <w:t xml:space="preserve"> </w:t>
      </w:r>
      <w:r w:rsidR="004F1254">
        <w:t>The potential for CO</w:t>
      </w:r>
      <w:r w:rsidR="004F1254" w:rsidRPr="00F331A0">
        <w:rPr>
          <w:vertAlign w:val="subscript"/>
        </w:rPr>
        <w:t>2</w:t>
      </w:r>
      <w:r w:rsidR="004F1254">
        <w:rPr>
          <w:vertAlign w:val="subscript"/>
        </w:rPr>
        <w:t xml:space="preserve"> </w:t>
      </w:r>
      <w:r w:rsidR="004F1254">
        <w:t xml:space="preserve">sequestration in Greenflame’s EOR program is very large. </w:t>
      </w:r>
      <w:r w:rsidR="00C40331">
        <w:t>S</w:t>
      </w:r>
      <w:r w:rsidR="004F1254">
        <w:t>tratigraphic</w:t>
      </w:r>
      <w:r w:rsidR="00B939E3">
        <w:t xml:space="preserve"> formations </w:t>
      </w:r>
      <w:r w:rsidR="00C40331">
        <w:t xml:space="preserve">beneath the Forest Sandstone reservoirs </w:t>
      </w:r>
      <w:r w:rsidR="00B939E3">
        <w:t>can sequester significant volumes of CO</w:t>
      </w:r>
      <w:r w:rsidR="00B939E3" w:rsidRPr="00F331A0">
        <w:rPr>
          <w:vertAlign w:val="subscript"/>
        </w:rPr>
        <w:t>2</w:t>
      </w:r>
      <w:r>
        <w:t xml:space="preserve">. </w:t>
      </w:r>
      <w:r w:rsidR="00B939E3">
        <w:t xml:space="preserve">The </w:t>
      </w:r>
      <w:r w:rsidR="00C40331">
        <w:t xml:space="preserve">underlying </w:t>
      </w:r>
      <w:r w:rsidR="00B939E3">
        <w:t>San Fernando Formation has reef limestones</w:t>
      </w:r>
      <w:r w:rsidR="00C40331">
        <w:t xml:space="preserve"> and t</w:t>
      </w:r>
      <w:r w:rsidR="00B939E3">
        <w:t xml:space="preserve">he sandstones in the Cipero </w:t>
      </w:r>
      <w:r w:rsidR="004F1254">
        <w:t>F</w:t>
      </w:r>
      <w:r w:rsidR="00B939E3">
        <w:t>ormation can be 1000</w:t>
      </w:r>
      <w:r w:rsidR="004F1254">
        <w:t>’</w:t>
      </w:r>
      <w:r w:rsidR="00B939E3">
        <w:t xml:space="preserve"> thick</w:t>
      </w:r>
      <w:r w:rsidR="006A23BC">
        <w:t xml:space="preserve"> (figure </w:t>
      </w:r>
      <w:r w:rsidR="00354EC0">
        <w:t>3</w:t>
      </w:r>
      <w:r w:rsidR="006A23BC">
        <w:t>)</w:t>
      </w:r>
      <w:r w:rsidR="004F1254">
        <w:t>.</w:t>
      </w:r>
      <w:r w:rsidR="00B939E3">
        <w:t xml:space="preserve"> CO</w:t>
      </w:r>
      <w:r w:rsidR="00B939E3" w:rsidRPr="00F331A0">
        <w:rPr>
          <w:vertAlign w:val="subscript"/>
        </w:rPr>
        <w:t>2</w:t>
      </w:r>
      <w:r w:rsidR="00B939E3">
        <w:t xml:space="preserve"> not used for EOR operations will be permanently sequestered in these deeper formations</w:t>
      </w:r>
      <w:r w:rsidR="00C40331">
        <w:t>.</w:t>
      </w:r>
      <w:r w:rsidR="00B939E3">
        <w:t xml:space="preserve"> The project </w:t>
      </w:r>
      <w:r w:rsidR="00594A6C">
        <w:t>can be</w:t>
      </w:r>
      <w:r w:rsidR="00B939E3">
        <w:t xml:space="preserve"> monetized in the Voluntary Carbon Credit Market</w:t>
      </w:r>
      <w:r w:rsidR="00594A6C">
        <w:t>, t</w:t>
      </w:r>
      <w:r w:rsidR="00B939E3">
        <w:t xml:space="preserve">he price </w:t>
      </w:r>
      <w:r w:rsidR="00594A6C">
        <w:t xml:space="preserve">of which </w:t>
      </w:r>
      <w:r w:rsidR="00B939E3">
        <w:t>can be $25/MT or higher</w:t>
      </w:r>
      <w:r w:rsidR="00594A6C">
        <w:t>.</w:t>
      </w:r>
      <w:r w:rsidR="00B939E3">
        <w:t xml:space="preserve"> </w:t>
      </w:r>
      <w:r w:rsidR="00594A6C">
        <w:t>T&amp;T has</w:t>
      </w:r>
      <w:r w:rsidR="00B939E3">
        <w:t xml:space="preserve"> over 17,000 wellbores in the onshore sector</w:t>
      </w:r>
      <w:r w:rsidR="00594A6C">
        <w:t xml:space="preserve"> and</w:t>
      </w:r>
      <w:r w:rsidR="00B939E3">
        <w:t xml:space="preserve"> the </w:t>
      </w:r>
      <w:r w:rsidR="00594A6C">
        <w:t xml:space="preserve">potential </w:t>
      </w:r>
      <w:r w:rsidR="00B939E3">
        <w:t>upside from carbon sequestration c</w:t>
      </w:r>
      <w:r w:rsidR="00594A6C">
        <w:t>ould</w:t>
      </w:r>
      <w:r w:rsidR="00B939E3">
        <w:t xml:space="preserve"> rival the value of the oil produce</w:t>
      </w:r>
      <w:r w:rsidR="00F331A0">
        <w:t>d.</w:t>
      </w:r>
    </w:p>
    <w:p w14:paraId="088B1683" w14:textId="5AEB528A" w:rsidR="005F2A75" w:rsidRDefault="005F2A75" w:rsidP="00D870C1">
      <w:pPr>
        <w:tabs>
          <w:tab w:val="left" w:pos="2405"/>
        </w:tabs>
        <w:spacing w:after="160" w:line="256" w:lineRule="auto"/>
        <w:jc w:val="both"/>
      </w:pPr>
    </w:p>
    <w:p w14:paraId="3FAE6CFD" w14:textId="15063BA9" w:rsidR="005F2A75" w:rsidRDefault="00594A6C" w:rsidP="005F2A75">
      <w:pPr>
        <w:tabs>
          <w:tab w:val="left" w:pos="2405"/>
        </w:tabs>
        <w:spacing w:after="160" w:line="256" w:lineRule="auto"/>
        <w:jc w:val="both"/>
      </w:pPr>
      <w:r>
        <w:t>Greenflame has signed a</w:t>
      </w:r>
      <w:r w:rsidR="005F2A75">
        <w:t>n MOU for 350 MT/day of pure CO</w:t>
      </w:r>
      <w:r w:rsidR="005F2A75" w:rsidRPr="00F331A0">
        <w:rPr>
          <w:vertAlign w:val="subscript"/>
        </w:rPr>
        <w:t>2</w:t>
      </w:r>
      <w:r w:rsidR="005F2A75">
        <w:t xml:space="preserve"> to be used in the Parrylands area for carbon sequestration which will reduce the per capita emissions of T&amp;T by a full 4%. This sequestered Carbon can be monetized in one of the voluntary carbon markets such as the Gold Standard.</w:t>
      </w:r>
    </w:p>
    <w:p w14:paraId="357163BD" w14:textId="5A0C0D9E" w:rsidR="00F331A0" w:rsidRDefault="00F331A0" w:rsidP="00D870C1">
      <w:pPr>
        <w:tabs>
          <w:tab w:val="left" w:pos="2405"/>
        </w:tabs>
        <w:spacing w:after="160" w:line="256" w:lineRule="auto"/>
        <w:jc w:val="both"/>
      </w:pPr>
    </w:p>
    <w:p w14:paraId="33C1244D" w14:textId="114E1EE6" w:rsidR="00F331A0" w:rsidRDefault="00F331A0" w:rsidP="00F331A0">
      <w:pPr>
        <w:tabs>
          <w:tab w:val="left" w:pos="2405"/>
        </w:tabs>
        <w:spacing w:after="160" w:line="256" w:lineRule="auto"/>
        <w:jc w:val="both"/>
      </w:pPr>
      <w:r>
        <w:t>The EOR opportunity has potential for a low cost, high netback and potentially carbon neutral production. Greenflame’s advanced technologies inject all emissions into the reservoir effectively sequestering the carbon and simultaneously increasing oil production. The project could become carbon negative once the CO</w:t>
      </w:r>
      <w:r w:rsidRPr="009E62BB">
        <w:rPr>
          <w:vertAlign w:val="subscript"/>
        </w:rPr>
        <w:t>2</w:t>
      </w:r>
      <w:r>
        <w:t xml:space="preserve"> pipeline is operational. Analog production from the adjacent Petrotrin/Texaco steam injection program recovered ~50% of the in-place oil. Greenflame’s advanced technologies are projected to recover above 80% of the oil in place.</w:t>
      </w:r>
    </w:p>
    <w:p w14:paraId="7D040796" w14:textId="1EA401E0" w:rsidR="008B7760" w:rsidRDefault="008B7760" w:rsidP="00F331A0">
      <w:pPr>
        <w:tabs>
          <w:tab w:val="left" w:pos="2405"/>
        </w:tabs>
        <w:spacing w:after="160" w:line="256" w:lineRule="auto"/>
        <w:jc w:val="both"/>
      </w:pPr>
    </w:p>
    <w:p w14:paraId="3E985735" w14:textId="2434B264" w:rsidR="008B7760" w:rsidRDefault="008B7760" w:rsidP="008B7760">
      <w:pPr>
        <w:jc w:val="both"/>
      </w:pPr>
      <w:r>
        <w:t>The DOE estimates that each ton of sequestered CO</w:t>
      </w:r>
      <w:r w:rsidRPr="002F714D">
        <w:rPr>
          <w:vertAlign w:val="subscript"/>
        </w:rPr>
        <w:t>2</w:t>
      </w:r>
      <w:r>
        <w:t xml:space="preserve"> will produce 3.3 </w:t>
      </w:r>
      <w:proofErr w:type="spellStart"/>
      <w:r>
        <w:t>bbls</w:t>
      </w:r>
      <w:proofErr w:type="spellEnd"/>
      <w:r>
        <w:t xml:space="preserve"> of additional oil, or over 1,000 BOPD for the Parrylands project </w:t>
      </w:r>
      <w:r w:rsidRPr="006D282F">
        <w:t xml:space="preserve">(appendix </w:t>
      </w:r>
      <w:r w:rsidR="006D282F">
        <w:t>3</w:t>
      </w:r>
      <w:r w:rsidRPr="006D282F">
        <w:t xml:space="preserve">, p. </w:t>
      </w:r>
      <w:r w:rsidR="006D282F" w:rsidRPr="006D282F">
        <w:t>60</w:t>
      </w:r>
      <w:r w:rsidRPr="006D282F">
        <w:t>). The</w:t>
      </w:r>
      <w:r>
        <w:t xml:space="preserve"> Company’s proprietary EOR methods include heating the reservoir in total, enhancing the overall recovery and production time in a more cost-effective manner than thermal steam injection. Company conservatively estimates 50+% recovery while modelling studies yield rates &gt;80%.</w:t>
      </w:r>
    </w:p>
    <w:p w14:paraId="1B735CF0" w14:textId="77777777" w:rsidR="00F331A0" w:rsidRDefault="00F331A0" w:rsidP="00D870C1">
      <w:pPr>
        <w:tabs>
          <w:tab w:val="left" w:pos="2405"/>
        </w:tabs>
        <w:spacing w:after="160" w:line="256" w:lineRule="auto"/>
        <w:jc w:val="both"/>
      </w:pPr>
    </w:p>
    <w:p w14:paraId="01F1F201" w14:textId="37C0CFDE" w:rsidR="00F331A0" w:rsidRDefault="00F331A0" w:rsidP="00F331A0">
      <w:pPr>
        <w:pStyle w:val="Heading2"/>
      </w:pPr>
      <w:bookmarkStart w:id="24" w:name="_Toc109039051"/>
      <w:r>
        <w:t>Advanced EOR Technology</w:t>
      </w:r>
      <w:bookmarkEnd w:id="24"/>
    </w:p>
    <w:p w14:paraId="04DC1F4E" w14:textId="085C1270" w:rsidR="00F63B98" w:rsidRDefault="00F63B98" w:rsidP="00D870C1">
      <w:pPr>
        <w:tabs>
          <w:tab w:val="left" w:pos="2405"/>
        </w:tabs>
        <w:spacing w:after="160" w:line="256" w:lineRule="auto"/>
        <w:jc w:val="both"/>
      </w:pPr>
    </w:p>
    <w:p w14:paraId="671EA4D5" w14:textId="1B38C7EA" w:rsidR="005940BC" w:rsidRDefault="00EA76F9" w:rsidP="00D671B2">
      <w:pPr>
        <w:jc w:val="both"/>
      </w:pPr>
      <w:r>
        <w:t>Greenflame will deploy 3 key technologies in</w:t>
      </w:r>
      <w:r w:rsidR="00B36A0A">
        <w:t xml:space="preserve"> Parrylands</w:t>
      </w:r>
      <w:r w:rsidR="00E42472">
        <w:t xml:space="preserve"> </w:t>
      </w:r>
      <w:r>
        <w:t xml:space="preserve">Block E EOR program. The first is the AVS </w:t>
      </w:r>
      <w:r w:rsidR="00AD578C">
        <w:t>S</w:t>
      </w:r>
      <w:r>
        <w:t xml:space="preserve">uperheated </w:t>
      </w:r>
      <w:r w:rsidR="00AD578C">
        <w:t>CO</w:t>
      </w:r>
      <w:r w:rsidR="00AD578C" w:rsidRPr="00AD578C">
        <w:rPr>
          <w:vertAlign w:val="subscript"/>
        </w:rPr>
        <w:t>2</w:t>
      </w:r>
      <w:r w:rsidR="00AD578C">
        <w:t xml:space="preserve"> S</w:t>
      </w:r>
      <w:r>
        <w:t xml:space="preserve">team </w:t>
      </w:r>
      <w:r w:rsidR="00AD578C">
        <w:t>T</w:t>
      </w:r>
      <w:r>
        <w:t>echnology</w:t>
      </w:r>
      <w:r w:rsidR="00AD578C">
        <w:t xml:space="preserve"> (figure </w:t>
      </w:r>
      <w:r w:rsidR="006D282F">
        <w:t>19</w:t>
      </w:r>
      <w:r w:rsidR="00AD578C">
        <w:t xml:space="preserve">) for which </w:t>
      </w:r>
      <w:r>
        <w:t xml:space="preserve">Greenflame has secured a </w:t>
      </w:r>
      <w:r w:rsidR="00AD578C">
        <w:t xml:space="preserve">Trinidad </w:t>
      </w:r>
      <w:r>
        <w:t>license</w:t>
      </w:r>
      <w:r w:rsidR="00AD578C">
        <w:t>.</w:t>
      </w:r>
      <w:r w:rsidR="00E42472">
        <w:t xml:space="preserve"> The second is CO</w:t>
      </w:r>
      <w:r w:rsidR="00E42472" w:rsidRPr="00E42472">
        <w:rPr>
          <w:vertAlign w:val="subscript"/>
        </w:rPr>
        <w:t>2</w:t>
      </w:r>
      <w:r w:rsidR="00E42472">
        <w:t xml:space="preserve"> flooding</w:t>
      </w:r>
      <w:r w:rsidR="00AA723F">
        <w:t xml:space="preserve"> and the third </w:t>
      </w:r>
      <w:r w:rsidR="00B36A0A">
        <w:t xml:space="preserve">is </w:t>
      </w:r>
      <w:r w:rsidR="00AA723F">
        <w:t>SMART PUMPER.</w:t>
      </w:r>
    </w:p>
    <w:p w14:paraId="09A6FE6F" w14:textId="6FD27AC5" w:rsidR="00594A6C" w:rsidRDefault="00594A6C" w:rsidP="003A1846"/>
    <w:p w14:paraId="78BCB932" w14:textId="6C55D21B" w:rsidR="00EA76F9" w:rsidRDefault="00DF3B5F" w:rsidP="003A1846">
      <w:r>
        <w:rPr>
          <w:noProof/>
        </w:rPr>
        <w:drawing>
          <wp:inline distT="0" distB="0" distL="0" distR="0" wp14:anchorId="336A5124" wp14:editId="7918B842">
            <wp:extent cx="4195197" cy="3269704"/>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5"/>
                    <a:stretch>
                      <a:fillRect/>
                    </a:stretch>
                  </pic:blipFill>
                  <pic:spPr>
                    <a:xfrm>
                      <a:off x="0" y="0"/>
                      <a:ext cx="4195197" cy="3269704"/>
                    </a:xfrm>
                    <a:prstGeom prst="rect">
                      <a:avLst/>
                    </a:prstGeom>
                  </pic:spPr>
                </pic:pic>
              </a:graphicData>
            </a:graphic>
          </wp:inline>
        </w:drawing>
      </w:r>
    </w:p>
    <w:p w14:paraId="222B841B" w14:textId="2068D1A0" w:rsidR="00EA76F9" w:rsidRDefault="00AD578C" w:rsidP="003A1846">
      <w:r>
        <w:t xml:space="preserve">Figure </w:t>
      </w:r>
      <w:r w:rsidR="006D282F">
        <w:t>19</w:t>
      </w:r>
      <w:r>
        <w:t>.</w:t>
      </w:r>
      <w:r w:rsidR="006D282F">
        <w:t xml:space="preserve"> Schematic of AVS’ direct fired superheater.</w:t>
      </w:r>
    </w:p>
    <w:p w14:paraId="11E6DEA4" w14:textId="77777777" w:rsidR="00D671B2" w:rsidRDefault="00D671B2" w:rsidP="00D671B2">
      <w:pPr>
        <w:jc w:val="both"/>
      </w:pPr>
    </w:p>
    <w:p w14:paraId="6C0D3A39" w14:textId="4DED29C1" w:rsidR="00AD578C" w:rsidRDefault="00D671B2" w:rsidP="00D671B2">
      <w:pPr>
        <w:jc w:val="both"/>
      </w:pPr>
      <w:r>
        <w:t>The patented AVS superheater technology is a direct-fired superheater that injects a flame into a stream of water or steam</w:t>
      </w:r>
      <w:r w:rsidR="003D45EA">
        <w:t>,</w:t>
      </w:r>
      <w:r>
        <w:t xml:space="preserve"> and superheated steam is created in one step within one vessel. All greenhouse gases are injected into the target reservoir zone</w:t>
      </w:r>
      <w:r w:rsidR="00FE5717">
        <w:t xml:space="preserve"> making this a zero emissions technology</w:t>
      </w:r>
      <w:r>
        <w:t xml:space="preserve">.  </w:t>
      </w:r>
      <w:r w:rsidR="00FE5717">
        <w:t>Temperature of the superheated steam can range from 150-650</w:t>
      </w:r>
      <w:r w:rsidR="00FE5717" w:rsidRPr="00FE5717">
        <w:rPr>
          <w:vertAlign w:val="superscript"/>
        </w:rPr>
        <w:t>0</w:t>
      </w:r>
      <w:r w:rsidR="00FE5717">
        <w:t xml:space="preserve">C. The heater is simple and compact and has no corrosion zones. </w:t>
      </w:r>
      <w:r w:rsidR="009E58BE">
        <w:t xml:space="preserve">This technology is the only one that can vary the flue gas mass and gas composition from combustion up to 100% </w:t>
      </w:r>
      <w:r w:rsidR="003D45EA">
        <w:t>CO</w:t>
      </w:r>
      <w:r w:rsidR="003D45EA" w:rsidRPr="003D45EA">
        <w:rPr>
          <w:vertAlign w:val="subscript"/>
        </w:rPr>
        <w:t>2</w:t>
      </w:r>
      <w:r w:rsidR="003D45EA">
        <w:t>. The technology enhances both production and recovery from any reservoir type (coal, sandstone, carbonates, shale and oil shale).</w:t>
      </w:r>
      <w:r w:rsidR="00595D4F">
        <w:t xml:space="preserve"> A major strength of the ultra-heated steam technology is that temperature is decoupled from pressure (figure </w:t>
      </w:r>
      <w:r w:rsidR="006D282F">
        <w:t>2</w:t>
      </w:r>
      <w:r w:rsidR="00595D4F">
        <w:t xml:space="preserve">0) and </w:t>
      </w:r>
      <w:r w:rsidR="00595D4F">
        <w:lastRenderedPageBreak/>
        <w:t>thus ideally suited for shallow reservoirs with low fracture gradients</w:t>
      </w:r>
      <w:r w:rsidR="00E42472">
        <w:t xml:space="preserve"> such as </w:t>
      </w:r>
      <w:r w:rsidR="006A23BC">
        <w:t xml:space="preserve">the Forest Sandstone at </w:t>
      </w:r>
      <w:r w:rsidR="00E42472">
        <w:t>Parrylands Block E</w:t>
      </w:r>
      <w:r w:rsidR="00595D4F">
        <w:t>.</w:t>
      </w:r>
      <w:r w:rsidR="00D574D5">
        <w:t xml:space="preserve"> </w:t>
      </w:r>
      <w:r w:rsidR="00D574D5">
        <w:t>The greatly increased heavy oil mobility of superheated steam also eliminates the problems of conformance or fingering of conventional saturated steam injection and substantially increases recovery efficiency.</w:t>
      </w:r>
      <w:r w:rsidR="00594869">
        <w:t xml:space="preserve"> A schematic of the superior performance of superheated steam over other methods is illustrated in figure 21.</w:t>
      </w:r>
    </w:p>
    <w:p w14:paraId="40611DBD" w14:textId="68BEC4B5" w:rsidR="00FE5717" w:rsidRDefault="00FE5717" w:rsidP="00D671B2">
      <w:pPr>
        <w:jc w:val="both"/>
      </w:pPr>
    </w:p>
    <w:p w14:paraId="4D4FD7F4" w14:textId="77777777" w:rsidR="00595D4F" w:rsidRPr="00A60312" w:rsidRDefault="00595D4F" w:rsidP="00595D4F">
      <w:pPr>
        <w:jc w:val="both"/>
      </w:pPr>
      <w:r>
        <w:rPr>
          <w:noProof/>
        </w:rPr>
        <w:drawing>
          <wp:inline distT="0" distB="0" distL="0" distR="0" wp14:anchorId="5FBB170B" wp14:editId="276FF643">
            <wp:extent cx="4014000" cy="3326400"/>
            <wp:effectExtent l="0" t="0" r="5715" b="7620"/>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36"/>
                    <a:stretch>
                      <a:fillRect/>
                    </a:stretch>
                  </pic:blipFill>
                  <pic:spPr>
                    <a:xfrm>
                      <a:off x="0" y="0"/>
                      <a:ext cx="4014000" cy="3326400"/>
                    </a:xfrm>
                    <a:prstGeom prst="rect">
                      <a:avLst/>
                    </a:prstGeom>
                  </pic:spPr>
                </pic:pic>
              </a:graphicData>
            </a:graphic>
          </wp:inline>
        </w:drawing>
      </w:r>
    </w:p>
    <w:p w14:paraId="0B1C8230" w14:textId="336BB490" w:rsidR="00595D4F" w:rsidRDefault="00595D4F" w:rsidP="00595D4F">
      <w:pPr>
        <w:jc w:val="both"/>
      </w:pPr>
      <w:r w:rsidRPr="00A60312">
        <w:t xml:space="preserve">Figure </w:t>
      </w:r>
      <w:r w:rsidR="006D282F">
        <w:t>2</w:t>
      </w:r>
      <w:r>
        <w:t>0</w:t>
      </w:r>
      <w:r w:rsidRPr="00A60312">
        <w:t>. The relationship between Steam pressure and reciprocal kinematic mobility ratio.</w:t>
      </w:r>
      <w:r>
        <w:t xml:space="preserve"> Superheated steam at increasingly higher temperatures increases the mobility ratio of the heavy oil without substantially increasing the steam pressure, hence temperature and pressure are decoupled with the superheated steam technology. The hotter the steam, the better the mobility ratio of the heavy oil and the greater the recovery efficiency.</w:t>
      </w:r>
    </w:p>
    <w:p w14:paraId="43247423" w14:textId="77777777" w:rsidR="00D574D5" w:rsidRDefault="00D574D5" w:rsidP="00595D4F">
      <w:pPr>
        <w:jc w:val="both"/>
      </w:pPr>
    </w:p>
    <w:p w14:paraId="10A630BA" w14:textId="0E5C7ECE" w:rsidR="00F1076F" w:rsidRPr="00A60312" w:rsidRDefault="00110C8C" w:rsidP="00595D4F">
      <w:pPr>
        <w:jc w:val="both"/>
      </w:pPr>
      <w:r>
        <w:rPr>
          <w:noProof/>
        </w:rPr>
        <w:drawing>
          <wp:inline distT="0" distB="0" distL="0" distR="0" wp14:anchorId="0D796F78" wp14:editId="0CDEEC52">
            <wp:extent cx="4165200" cy="2062800"/>
            <wp:effectExtent l="0" t="0" r="698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37"/>
                    <a:stretch>
                      <a:fillRect/>
                    </a:stretch>
                  </pic:blipFill>
                  <pic:spPr>
                    <a:xfrm>
                      <a:off x="0" y="0"/>
                      <a:ext cx="4165200" cy="2062800"/>
                    </a:xfrm>
                    <a:prstGeom prst="rect">
                      <a:avLst/>
                    </a:prstGeom>
                  </pic:spPr>
                </pic:pic>
              </a:graphicData>
            </a:graphic>
          </wp:inline>
        </w:drawing>
      </w:r>
    </w:p>
    <w:p w14:paraId="557A7849" w14:textId="625CF2F1" w:rsidR="00F1076F" w:rsidRDefault="00F1076F" w:rsidP="00AA723F">
      <w:pPr>
        <w:jc w:val="both"/>
      </w:pPr>
      <w:r>
        <w:t xml:space="preserve">Figure </w:t>
      </w:r>
      <w:r w:rsidR="006D282F">
        <w:t>21</w:t>
      </w:r>
      <w:r>
        <w:t xml:space="preserve">. </w:t>
      </w:r>
      <w:r w:rsidR="00627032">
        <w:t>Schematic illustrating the advantage of superheated steam greatly increasing the per well oil production compared to other methods.</w:t>
      </w:r>
    </w:p>
    <w:p w14:paraId="296D7DC9" w14:textId="77777777" w:rsidR="00627032" w:rsidRDefault="00627032" w:rsidP="00AA723F">
      <w:pPr>
        <w:jc w:val="both"/>
      </w:pPr>
    </w:p>
    <w:p w14:paraId="1411ED72" w14:textId="37DA8C5E" w:rsidR="00AD578C" w:rsidRDefault="00E42472" w:rsidP="00AA723F">
      <w:pPr>
        <w:jc w:val="both"/>
      </w:pPr>
      <w:r>
        <w:t>CO</w:t>
      </w:r>
      <w:r w:rsidRPr="00AA723F">
        <w:rPr>
          <w:vertAlign w:val="subscript"/>
        </w:rPr>
        <w:t>2</w:t>
      </w:r>
      <w:r>
        <w:t xml:space="preserve"> </w:t>
      </w:r>
      <w:r w:rsidR="00B36A0A">
        <w:t>f</w:t>
      </w:r>
      <w:r>
        <w:t>looding is miscible with</w:t>
      </w:r>
      <w:r w:rsidR="00B36A0A">
        <w:t>,</w:t>
      </w:r>
      <w:r>
        <w:t xml:space="preserve"> and dissolves into</w:t>
      </w:r>
      <w:r w:rsidR="00B36A0A">
        <w:t>,</w:t>
      </w:r>
      <w:r>
        <w:t xml:space="preserve"> the heavy oil permanently reducing oil viscosity</w:t>
      </w:r>
      <w:r w:rsidR="00AA723F">
        <w:t xml:space="preserve"> at reservoir pressure</w:t>
      </w:r>
      <w:r>
        <w:t>. Moreover, as pressure is reduced at the production well, the CO</w:t>
      </w:r>
      <w:r w:rsidRPr="00AA723F">
        <w:rPr>
          <w:vertAlign w:val="subscript"/>
        </w:rPr>
        <w:t>2</w:t>
      </w:r>
      <w:r>
        <w:t xml:space="preserve"> comes out of solution</w:t>
      </w:r>
      <w:r w:rsidR="00AA723F">
        <w:t xml:space="preserve"> creating a highly effective foamy oil drive. Very high recovery efficiencies are expected and can be &gt;80%.</w:t>
      </w:r>
    </w:p>
    <w:p w14:paraId="11E1E41D" w14:textId="460997C9" w:rsidR="00594A6C" w:rsidRDefault="00110C8C" w:rsidP="003A1846">
      <w:r>
        <w:rPr>
          <w:noProof/>
        </w:rPr>
        <w:drawing>
          <wp:inline distT="0" distB="0" distL="0" distR="0" wp14:anchorId="7910D534" wp14:editId="02B6E28D">
            <wp:extent cx="5687219" cy="3258005"/>
            <wp:effectExtent l="0" t="0" r="889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8"/>
                    <a:stretch>
                      <a:fillRect/>
                    </a:stretch>
                  </pic:blipFill>
                  <pic:spPr>
                    <a:xfrm>
                      <a:off x="0" y="0"/>
                      <a:ext cx="5687219" cy="3258005"/>
                    </a:xfrm>
                    <a:prstGeom prst="rect">
                      <a:avLst/>
                    </a:prstGeom>
                  </pic:spPr>
                </pic:pic>
              </a:graphicData>
            </a:graphic>
          </wp:inline>
        </w:drawing>
      </w:r>
    </w:p>
    <w:p w14:paraId="3BF1EB8C" w14:textId="40FC6DDC" w:rsidR="00627032" w:rsidRDefault="00627032" w:rsidP="007B36CB">
      <w:pPr>
        <w:jc w:val="both"/>
      </w:pPr>
      <w:r>
        <w:t xml:space="preserve">Figure </w:t>
      </w:r>
      <w:r w:rsidR="00594869">
        <w:t>22</w:t>
      </w:r>
      <w:r>
        <w:t xml:space="preserve">. </w:t>
      </w:r>
      <w:r w:rsidR="00110C8C">
        <w:t>The effect of CO</w:t>
      </w:r>
      <w:r w:rsidR="00110C8C" w:rsidRPr="00110C8C">
        <w:rPr>
          <w:vertAlign w:val="subscript"/>
        </w:rPr>
        <w:t>2</w:t>
      </w:r>
      <w:r w:rsidR="00110C8C">
        <w:t xml:space="preserve"> concentration on oil recovery. Even small amounts of CO</w:t>
      </w:r>
      <w:r w:rsidR="00110C8C" w:rsidRPr="006A23BC">
        <w:rPr>
          <w:vertAlign w:val="subscript"/>
        </w:rPr>
        <w:t>2</w:t>
      </w:r>
      <w:r w:rsidR="00110C8C">
        <w:t xml:space="preserve"> can have a dramatic effect on oil recovery. Increasing the percentage of CO</w:t>
      </w:r>
      <w:r w:rsidR="00110C8C" w:rsidRPr="00A51A75">
        <w:rPr>
          <w:vertAlign w:val="subscript"/>
        </w:rPr>
        <w:t>2</w:t>
      </w:r>
      <w:r w:rsidR="00110C8C">
        <w:t xml:space="preserve"> from 2.25 to 4% increases recovery from 15</w:t>
      </w:r>
      <w:r w:rsidR="00AF4AAE">
        <w:t>-20</w:t>
      </w:r>
      <w:r w:rsidR="00110C8C">
        <w:t xml:space="preserve">% to </w:t>
      </w:r>
      <w:r w:rsidR="00AF4AAE">
        <w:t>56.4-71%.</w:t>
      </w:r>
    </w:p>
    <w:p w14:paraId="0580DD60" w14:textId="77777777" w:rsidR="00627032" w:rsidRDefault="00627032" w:rsidP="003A1846"/>
    <w:p w14:paraId="4EE48D6D" w14:textId="6A992C87" w:rsidR="008B7760" w:rsidRDefault="00B36A0A" w:rsidP="00B36A0A">
      <w:pPr>
        <w:jc w:val="both"/>
        <w:rPr>
          <w:lang w:val="en-US"/>
        </w:rPr>
      </w:pPr>
      <w:r>
        <w:rPr>
          <w:lang w:val="en-US"/>
        </w:rPr>
        <w:t>SMART PUMPER is a technology that a</w:t>
      </w:r>
      <w:r w:rsidR="00283E8C">
        <w:rPr>
          <w:lang w:val="en-US"/>
        </w:rPr>
        <w:t>llows for remote monitoring and control. Automated pump control optimizes production</w:t>
      </w:r>
      <w:r>
        <w:rPr>
          <w:lang w:val="en-US"/>
        </w:rPr>
        <w:t>, extends pump life, reduces downtime and prevents damage to equipment.</w:t>
      </w:r>
    </w:p>
    <w:p w14:paraId="37B68C3F" w14:textId="77777777" w:rsidR="00E42472" w:rsidRDefault="00E42472" w:rsidP="003A1846">
      <w:pPr>
        <w:jc w:val="both"/>
        <w:rPr>
          <w:sz w:val="20"/>
          <w:szCs w:val="20"/>
          <w:lang w:val="en-US"/>
        </w:rPr>
      </w:pPr>
    </w:p>
    <w:p w14:paraId="6A2DA744" w14:textId="7FE80409" w:rsidR="00513AE1" w:rsidRDefault="00513AE1" w:rsidP="00513AE1">
      <w:pPr>
        <w:pStyle w:val="Heading2"/>
      </w:pPr>
      <w:bookmarkStart w:id="25" w:name="_Toc109039052"/>
      <w:r>
        <w:t>Proposed Steam Injection Wells</w:t>
      </w:r>
      <w:bookmarkEnd w:id="25"/>
    </w:p>
    <w:p w14:paraId="37AFDD92" w14:textId="2320CB2D" w:rsidR="00E42472" w:rsidRDefault="00E42472" w:rsidP="003A1846">
      <w:pPr>
        <w:jc w:val="both"/>
        <w:rPr>
          <w:sz w:val="20"/>
          <w:szCs w:val="20"/>
          <w:lang w:val="en-US"/>
        </w:rPr>
      </w:pPr>
    </w:p>
    <w:p w14:paraId="056D22F6" w14:textId="040A3689" w:rsidR="00E42472" w:rsidRDefault="00513AE1" w:rsidP="003A1846">
      <w:pPr>
        <w:jc w:val="both"/>
        <w:rPr>
          <w:lang w:val="en-US"/>
        </w:rPr>
      </w:pPr>
      <w:r w:rsidRPr="0045380D">
        <w:rPr>
          <w:lang w:val="en-US"/>
        </w:rPr>
        <w:t>Since the Gaffney, Cline &amp; Associates</w:t>
      </w:r>
      <w:r w:rsidR="0045380D" w:rsidRPr="0045380D">
        <w:rPr>
          <w:lang w:val="en-US"/>
        </w:rPr>
        <w:t xml:space="preserve"> reserves report</w:t>
      </w:r>
      <w:r w:rsidR="0045380D">
        <w:rPr>
          <w:lang w:val="en-US"/>
        </w:rPr>
        <w:t xml:space="preserve"> in 2008, NHE has undertaken substantial drilling activities across Block E, particularly the 32 new vertical wells in the north</w:t>
      </w:r>
      <w:r w:rsidR="00322573">
        <w:rPr>
          <w:lang w:val="en-US"/>
        </w:rPr>
        <w:t>ern</w:t>
      </w:r>
      <w:r w:rsidR="0045380D">
        <w:rPr>
          <w:lang w:val="en-US"/>
        </w:rPr>
        <w:t xml:space="preserve"> part. GCA </w:t>
      </w:r>
      <w:r w:rsidR="00322573">
        <w:rPr>
          <w:lang w:val="en-US"/>
        </w:rPr>
        <w:t xml:space="preserve">only assigned Contingent Resources for the northern part of the field arguing that more wells were needed to provide regular producer patterns </w:t>
      </w:r>
      <w:r w:rsidR="000B145D">
        <w:rPr>
          <w:lang w:val="en-US"/>
        </w:rPr>
        <w:t>and that additional drilling would also provide more geological certainty and mitigate any fault complexity. New drilling has now been undertaken and well spacing across the core of the reservoir (</w:t>
      </w:r>
      <w:r w:rsidR="000E20FE">
        <w:rPr>
          <w:lang w:val="en-US"/>
        </w:rPr>
        <w:t xml:space="preserve">net pay </w:t>
      </w:r>
      <w:r w:rsidR="000B145D">
        <w:rPr>
          <w:lang w:val="en-US"/>
        </w:rPr>
        <w:t>&gt;50’ and the cut-off for OOIP calculations) is generally 2.5 acres or less</w:t>
      </w:r>
      <w:r w:rsidR="00350A1B">
        <w:rPr>
          <w:lang w:val="en-US"/>
        </w:rPr>
        <w:t xml:space="preserve"> (figure </w:t>
      </w:r>
      <w:r w:rsidR="00594869">
        <w:rPr>
          <w:lang w:val="en-US"/>
        </w:rPr>
        <w:t>23</w:t>
      </w:r>
      <w:r w:rsidR="00350A1B">
        <w:rPr>
          <w:lang w:val="en-US"/>
        </w:rPr>
        <w:t xml:space="preserve">). </w:t>
      </w:r>
    </w:p>
    <w:p w14:paraId="17787C12" w14:textId="77777777" w:rsidR="000E20FE" w:rsidRPr="000E20FE" w:rsidRDefault="000E20FE" w:rsidP="003A1846">
      <w:pPr>
        <w:jc w:val="both"/>
        <w:rPr>
          <w:lang w:val="en-US"/>
        </w:rPr>
      </w:pPr>
    </w:p>
    <w:p w14:paraId="70DAB7F4" w14:textId="5745DDAC" w:rsidR="00283E8C" w:rsidRDefault="007C057F" w:rsidP="003A1846">
      <w:pPr>
        <w:jc w:val="both"/>
      </w:pPr>
      <w:r>
        <w:lastRenderedPageBreak/>
        <w:t xml:space="preserve">GCA did not </w:t>
      </w:r>
      <w:r w:rsidRPr="004F3891">
        <w:t>attribute any reserve estimates to the shut-in wells in 2008 as proved not producing or proved undeveloped.</w:t>
      </w:r>
      <w:r w:rsidR="00350A1B">
        <w:t xml:space="preserve"> There are now 110 wells in the field (100 vertical and 10 horizontal) that are </w:t>
      </w:r>
      <w:r w:rsidR="009F6A8F">
        <w:t xml:space="preserve">drilled and completed and </w:t>
      </w:r>
      <w:r w:rsidR="00350A1B">
        <w:t>ready for steam injection upon raising capital for full development. With the deployment of AVS superheater technology that will enable injection of high temperature, high quality steam at injection pressures below the frac</w:t>
      </w:r>
      <w:r w:rsidR="005E3DB2">
        <w:t>ture</w:t>
      </w:r>
      <w:r w:rsidR="00350A1B">
        <w:t xml:space="preserve"> gradient along with </w:t>
      </w:r>
      <w:r w:rsidR="005E3DB2">
        <w:t>flue gas containing</w:t>
      </w:r>
      <w:r w:rsidR="00C07AF8">
        <w:t xml:space="preserve"> a</w:t>
      </w:r>
      <w:r w:rsidR="005E3DB2">
        <w:t xml:space="preserve"> significant percentage of CO</w:t>
      </w:r>
      <w:r w:rsidR="005E3DB2" w:rsidRPr="005E3DB2">
        <w:rPr>
          <w:vertAlign w:val="subscript"/>
        </w:rPr>
        <w:t>2</w:t>
      </w:r>
      <w:r w:rsidR="005E3DB2">
        <w:t xml:space="preserve"> that will substantially reduce oil viscosity in the reservoir and provide a foamy drive at the wellbore</w:t>
      </w:r>
      <w:r w:rsidR="00C07AF8">
        <w:t>, Greenflame’s proposed EOR program is expected to far outperform the analogous production in the nearby Petrotrin/Texaco steam pilot project</w:t>
      </w:r>
      <w:r w:rsidR="00A51A75">
        <w:t xml:space="preserve"> both in terms of ultimate recovery </w:t>
      </w:r>
      <w:r w:rsidR="006342C3">
        <w:t xml:space="preserve">(50% vs projected &gt;80%) </w:t>
      </w:r>
      <w:r w:rsidR="00A51A75">
        <w:t>and daily oil production rates</w:t>
      </w:r>
      <w:r w:rsidR="006342C3">
        <w:t xml:space="preserve"> (30 bopd vs projected 75 bopd)</w:t>
      </w:r>
      <w:r w:rsidR="00C07AF8">
        <w:t>.</w:t>
      </w:r>
    </w:p>
    <w:p w14:paraId="11717B27" w14:textId="77777777" w:rsidR="009F6A8F" w:rsidRDefault="009F6A8F" w:rsidP="003A1846">
      <w:pPr>
        <w:jc w:val="both"/>
        <w:rPr>
          <w:sz w:val="20"/>
          <w:szCs w:val="20"/>
          <w:lang w:val="en-US"/>
        </w:rPr>
      </w:pPr>
    </w:p>
    <w:p w14:paraId="6870B3FD" w14:textId="63E34B1A" w:rsidR="00283E8C" w:rsidRDefault="00513AE1" w:rsidP="003A1846">
      <w:pPr>
        <w:jc w:val="both"/>
        <w:rPr>
          <w:sz w:val="20"/>
          <w:szCs w:val="20"/>
          <w:lang w:val="en-US"/>
        </w:rPr>
      </w:pPr>
      <w:r>
        <w:rPr>
          <w:noProof/>
          <w:sz w:val="20"/>
          <w:szCs w:val="20"/>
          <w:lang w:val="en-US"/>
        </w:rPr>
        <w:lastRenderedPageBreak/>
        <w:drawing>
          <wp:inline distT="0" distB="0" distL="0" distR="0" wp14:anchorId="21C51C08" wp14:editId="25027D1F">
            <wp:extent cx="4154400" cy="6793200"/>
            <wp:effectExtent l="0" t="0" r="0" b="8255"/>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pic:nvPicPr>
                  <pic:blipFill>
                    <a:blip r:embed="rId39"/>
                    <a:stretch>
                      <a:fillRect/>
                    </a:stretch>
                  </pic:blipFill>
                  <pic:spPr>
                    <a:xfrm>
                      <a:off x="0" y="0"/>
                      <a:ext cx="4154400" cy="6793200"/>
                    </a:xfrm>
                    <a:prstGeom prst="rect">
                      <a:avLst/>
                    </a:prstGeom>
                  </pic:spPr>
                </pic:pic>
              </a:graphicData>
            </a:graphic>
          </wp:inline>
        </w:drawing>
      </w:r>
    </w:p>
    <w:p w14:paraId="721F1F30" w14:textId="5364DF9C" w:rsidR="003A1846" w:rsidRDefault="00513AE1" w:rsidP="0045380D">
      <w:pPr>
        <w:jc w:val="both"/>
        <w:rPr>
          <w:lang w:val="en-US"/>
        </w:rPr>
      </w:pPr>
      <w:r>
        <w:rPr>
          <w:lang w:val="en-US"/>
        </w:rPr>
        <w:t xml:space="preserve">Figure </w:t>
      </w:r>
      <w:r w:rsidR="00594869">
        <w:rPr>
          <w:lang w:val="en-US"/>
        </w:rPr>
        <w:t>23</w:t>
      </w:r>
      <w:r>
        <w:rPr>
          <w:lang w:val="en-US"/>
        </w:rPr>
        <w:t>. Well spacing in the core of</w:t>
      </w:r>
      <w:r w:rsidR="00594869">
        <w:rPr>
          <w:lang w:val="en-US"/>
        </w:rPr>
        <w:t xml:space="preserve"> net pay</w:t>
      </w:r>
      <w:r>
        <w:rPr>
          <w:lang w:val="en-US"/>
        </w:rPr>
        <w:t xml:space="preserve"> reservoir </w:t>
      </w:r>
      <w:r w:rsidR="00594869">
        <w:rPr>
          <w:lang w:val="en-US"/>
        </w:rPr>
        <w:t>thickness</w:t>
      </w:r>
      <w:r>
        <w:rPr>
          <w:lang w:val="en-US"/>
        </w:rPr>
        <w:t xml:space="preserve"> (&gt;50’) is generally 2.5 acres or less.</w:t>
      </w:r>
    </w:p>
    <w:p w14:paraId="0CD55D38" w14:textId="77777777" w:rsidR="00353F20" w:rsidRDefault="00353F20" w:rsidP="00353F20">
      <w:pPr>
        <w:jc w:val="both"/>
      </w:pPr>
    </w:p>
    <w:p w14:paraId="7065D5E1" w14:textId="77777777" w:rsidR="00353F20" w:rsidRDefault="00353F20" w:rsidP="00353F20">
      <w:pPr>
        <w:pStyle w:val="Heading3"/>
      </w:pPr>
      <w:bookmarkStart w:id="26" w:name="_Toc109039053"/>
      <w:r>
        <w:t>Current Activities: Completed and In Progress</w:t>
      </w:r>
      <w:bookmarkEnd w:id="26"/>
    </w:p>
    <w:p w14:paraId="0DCB0859" w14:textId="77777777" w:rsidR="00353F20" w:rsidRDefault="00353F20" w:rsidP="00353F20">
      <w:pPr>
        <w:jc w:val="both"/>
      </w:pPr>
    </w:p>
    <w:p w14:paraId="39BF1AB3" w14:textId="68794452" w:rsidR="009C5F08" w:rsidRDefault="00353F20" w:rsidP="009C5F08">
      <w:pPr>
        <w:jc w:val="both"/>
        <w:rPr>
          <w:sz w:val="20"/>
          <w:szCs w:val="20"/>
          <w:lang w:val="en-US"/>
        </w:rPr>
      </w:pPr>
      <w:r>
        <w:t>Greenflame in conjunction with NHE have been undertaking the following steps for the last several years in preparation for the Enhanced Recovery (</w:t>
      </w:r>
      <w:r w:rsidRPr="008E50AB">
        <w:rPr>
          <w:i/>
          <w:iCs/>
        </w:rPr>
        <w:t>III</w:t>
      </w:r>
      <w:r>
        <w:t xml:space="preserve">) </w:t>
      </w:r>
      <w:r w:rsidRPr="009C5F08">
        <w:t>phase.</w:t>
      </w:r>
      <w:r w:rsidR="009C5F08" w:rsidRPr="009C5F08">
        <w:t xml:space="preserve"> </w:t>
      </w:r>
      <w:r w:rsidR="009C5F08" w:rsidRPr="009C5F08">
        <w:t>Anticipated 5</w:t>
      </w:r>
      <w:r w:rsidR="009C5F08">
        <w:t>-</w:t>
      </w:r>
      <w:r w:rsidR="009C5F08" w:rsidRPr="009C5F08">
        <w:t xml:space="preserve">year NET production revenue = $610,407,500; with estimated 29,379,000 P1 Reserves post EOR workover. $20MM invested to date in the 110 wells drilled including reservoir studies, development plan, field tests and infrastructure </w:t>
      </w:r>
      <w:r w:rsidR="009C5F08" w:rsidRPr="009C5F08">
        <w:lastRenderedPageBreak/>
        <w:t>(power, roads, water, accommodations) significantly de-risking the project, prepared for EOR workover.</w:t>
      </w:r>
    </w:p>
    <w:p w14:paraId="0298E041" w14:textId="77777777" w:rsidR="00353F20" w:rsidRDefault="00353F20" w:rsidP="00353F20">
      <w:pPr>
        <w:jc w:val="both"/>
      </w:pPr>
    </w:p>
    <w:p w14:paraId="3DDFD057" w14:textId="77777777" w:rsidR="00353F20" w:rsidRPr="005E1AB2" w:rsidRDefault="00353F20" w:rsidP="00353F20">
      <w:pPr>
        <w:pStyle w:val="Heading4"/>
        <w:rPr>
          <w:lang w:val="en-US"/>
        </w:rPr>
      </w:pPr>
      <w:r w:rsidRPr="005B2C94">
        <w:rPr>
          <w:lang w:val="en-US"/>
        </w:rPr>
        <w:t>I: Near Wellbore Work</w:t>
      </w:r>
    </w:p>
    <w:p w14:paraId="4E487253" w14:textId="77777777" w:rsidR="00353F20" w:rsidRPr="005B2C94" w:rsidRDefault="00353F20" w:rsidP="00353F20">
      <w:pPr>
        <w:pStyle w:val="ListParagraph"/>
        <w:numPr>
          <w:ilvl w:val="0"/>
          <w:numId w:val="29"/>
        </w:numPr>
        <w:jc w:val="both"/>
      </w:pPr>
      <w:r w:rsidRPr="005E1AB2">
        <w:rPr>
          <w:lang w:val="en-US"/>
        </w:rPr>
        <w:t>Wellbore Cleanouts due to asphaltene buildup</w:t>
      </w:r>
    </w:p>
    <w:p w14:paraId="4C56A707" w14:textId="77777777" w:rsidR="00353F20" w:rsidRPr="005B2C94" w:rsidRDefault="00353F20" w:rsidP="00353F20">
      <w:pPr>
        <w:pStyle w:val="ListParagraph"/>
        <w:numPr>
          <w:ilvl w:val="0"/>
          <w:numId w:val="29"/>
        </w:numPr>
        <w:jc w:val="both"/>
      </w:pPr>
      <w:r w:rsidRPr="005E1AB2">
        <w:rPr>
          <w:lang w:val="en-US"/>
        </w:rPr>
        <w:t>Install PCP pumps or sand tolerant pumps</w:t>
      </w:r>
    </w:p>
    <w:p w14:paraId="33529F52" w14:textId="77777777" w:rsidR="00353F20" w:rsidRPr="005B2C94" w:rsidRDefault="00353F20" w:rsidP="00353F20">
      <w:pPr>
        <w:pStyle w:val="ListParagraph"/>
        <w:numPr>
          <w:ilvl w:val="0"/>
          <w:numId w:val="29"/>
        </w:numPr>
        <w:jc w:val="both"/>
      </w:pPr>
      <w:r w:rsidRPr="005E1AB2">
        <w:rPr>
          <w:lang w:val="en-US"/>
        </w:rPr>
        <w:t>Smart Pumper managed wells</w:t>
      </w:r>
    </w:p>
    <w:p w14:paraId="03B6D639" w14:textId="77777777" w:rsidR="00353F20" w:rsidRPr="005B2C94" w:rsidRDefault="00353F20" w:rsidP="00353F20">
      <w:pPr>
        <w:pStyle w:val="Heading4"/>
      </w:pPr>
      <w:r w:rsidRPr="005B2C94">
        <w:rPr>
          <w:lang w:val="en-US"/>
        </w:rPr>
        <w:t>II: Reservoir Management</w:t>
      </w:r>
    </w:p>
    <w:p w14:paraId="1844FC7C" w14:textId="77777777" w:rsidR="00353F20" w:rsidRPr="005B2C94" w:rsidRDefault="00353F20" w:rsidP="00353F20">
      <w:pPr>
        <w:pStyle w:val="ListParagraph"/>
        <w:numPr>
          <w:ilvl w:val="0"/>
          <w:numId w:val="30"/>
        </w:numPr>
      </w:pPr>
      <w:r w:rsidRPr="005E1AB2">
        <w:rPr>
          <w:lang w:val="en-US"/>
        </w:rPr>
        <w:t>Sand Control - Wire Wrapped Screens</w:t>
      </w:r>
    </w:p>
    <w:p w14:paraId="2996E83B" w14:textId="77777777" w:rsidR="00353F20" w:rsidRPr="005B2C94" w:rsidRDefault="00353F20" w:rsidP="00353F20">
      <w:pPr>
        <w:pStyle w:val="ListParagraph"/>
        <w:numPr>
          <w:ilvl w:val="0"/>
          <w:numId w:val="30"/>
        </w:numPr>
      </w:pPr>
      <w:r w:rsidRPr="005E1AB2">
        <w:rPr>
          <w:lang w:val="en-US"/>
        </w:rPr>
        <w:t>Thermal Packers</w:t>
      </w:r>
    </w:p>
    <w:p w14:paraId="1D57E857" w14:textId="77777777" w:rsidR="00353F20" w:rsidRPr="005B2C94" w:rsidRDefault="00353F20" w:rsidP="00353F20">
      <w:pPr>
        <w:pStyle w:val="ListParagraph"/>
        <w:numPr>
          <w:ilvl w:val="0"/>
          <w:numId w:val="30"/>
        </w:numPr>
      </w:pPr>
      <w:r w:rsidRPr="005E1AB2">
        <w:rPr>
          <w:lang w:val="en-US"/>
        </w:rPr>
        <w:t>Steam + Flue Gas</w:t>
      </w:r>
    </w:p>
    <w:p w14:paraId="50792154" w14:textId="77777777" w:rsidR="00353F20" w:rsidRPr="005B2C94" w:rsidRDefault="00353F20" w:rsidP="00353F20">
      <w:pPr>
        <w:pStyle w:val="Heading4"/>
      </w:pPr>
      <w:r w:rsidRPr="005B2C94">
        <w:rPr>
          <w:lang w:val="en-US"/>
        </w:rPr>
        <w:t>III: Enhanced Recovery</w:t>
      </w:r>
    </w:p>
    <w:p w14:paraId="5200778B" w14:textId="77777777" w:rsidR="00353F20" w:rsidRPr="005B2C94" w:rsidRDefault="00353F20" w:rsidP="00353F20">
      <w:pPr>
        <w:pStyle w:val="ListParagraph"/>
        <w:numPr>
          <w:ilvl w:val="0"/>
          <w:numId w:val="32"/>
        </w:numPr>
      </w:pPr>
      <w:r w:rsidRPr="005E1AB2">
        <w:rPr>
          <w:lang w:val="en-US"/>
        </w:rPr>
        <w:t>CO</w:t>
      </w:r>
      <w:r w:rsidRPr="005E1AB2">
        <w:rPr>
          <w:vertAlign w:val="subscript"/>
          <w:lang w:val="en-US"/>
        </w:rPr>
        <w:t>2</w:t>
      </w:r>
      <w:r w:rsidRPr="005E1AB2">
        <w:rPr>
          <w:lang w:val="en-US"/>
        </w:rPr>
        <w:t xml:space="preserve"> + Steam</w:t>
      </w:r>
    </w:p>
    <w:p w14:paraId="76F6FC24" w14:textId="77777777" w:rsidR="00353F20" w:rsidRPr="005B2C94" w:rsidRDefault="00353F20" w:rsidP="00353F20">
      <w:pPr>
        <w:pStyle w:val="ListParagraph"/>
        <w:numPr>
          <w:ilvl w:val="0"/>
          <w:numId w:val="32"/>
        </w:numPr>
      </w:pPr>
      <w:r w:rsidRPr="005E1AB2">
        <w:rPr>
          <w:lang w:val="en-US"/>
        </w:rPr>
        <w:t>CO</w:t>
      </w:r>
      <w:r w:rsidRPr="005E1AB2">
        <w:rPr>
          <w:vertAlign w:val="subscript"/>
          <w:lang w:val="en-US"/>
        </w:rPr>
        <w:t>2</w:t>
      </w:r>
      <w:r w:rsidRPr="005E1AB2">
        <w:rPr>
          <w:lang w:val="en-US"/>
        </w:rPr>
        <w:t xml:space="preserve"> EOR + Carbon Sequestration</w:t>
      </w:r>
    </w:p>
    <w:p w14:paraId="009FC857" w14:textId="77777777" w:rsidR="00353F20" w:rsidRDefault="00353F20" w:rsidP="00F331A0">
      <w:pPr>
        <w:pStyle w:val="Heading2"/>
      </w:pPr>
    </w:p>
    <w:p w14:paraId="59728650" w14:textId="48E50941" w:rsidR="00F331A0" w:rsidRDefault="00F331A0" w:rsidP="00F331A0">
      <w:pPr>
        <w:pStyle w:val="Heading2"/>
      </w:pPr>
      <w:bookmarkStart w:id="27" w:name="_Toc109039054"/>
      <w:r>
        <w:t xml:space="preserve">Economic </w:t>
      </w:r>
      <w:r w:rsidR="00AC0CE2">
        <w:t xml:space="preserve">Modeling and </w:t>
      </w:r>
      <w:r>
        <w:t>Assumptions</w:t>
      </w:r>
      <w:bookmarkEnd w:id="27"/>
    </w:p>
    <w:p w14:paraId="199794A4" w14:textId="77777777" w:rsidR="00F331A0" w:rsidRDefault="00F331A0" w:rsidP="00F331A0">
      <w:pPr>
        <w:jc w:val="both"/>
      </w:pPr>
    </w:p>
    <w:p w14:paraId="672E086E" w14:textId="6E9F57AC" w:rsidR="00F331A0" w:rsidRDefault="00A66CC0" w:rsidP="00F331A0">
      <w:pPr>
        <w:jc w:val="both"/>
      </w:pPr>
      <w:r>
        <w:t xml:space="preserve">The Trinidad Economic modeling is outlined in an excel spreadsheet that accompanies this report. Highlights of the model are illustrated here for convenience. </w:t>
      </w:r>
      <w:r w:rsidR="00F23044">
        <w:t xml:space="preserve">Daily oil production is predicted to accelerate rapidly to 6,000 bopd by month 21 following deployment of superheated steam injection program (figure 24). Cash on hand is similarly predicted to accelerate rapidly with the increased daily oil production rates (figure 25).  </w:t>
      </w:r>
      <w:r w:rsidR="00AC0CE2">
        <w:t xml:space="preserve">Capital and operational costs for the first 7 months of the program are </w:t>
      </w:r>
      <w:r>
        <w:t>shown</w:t>
      </w:r>
      <w:r w:rsidR="00AC0CE2">
        <w:t xml:space="preserve"> in figure </w:t>
      </w:r>
      <w:r w:rsidR="00F23044">
        <w:t>26</w:t>
      </w:r>
      <w:r w:rsidR="00AC0CE2">
        <w:t xml:space="preserve"> below and the Financial </w:t>
      </w:r>
      <w:r>
        <w:t>S</w:t>
      </w:r>
      <w:r w:rsidR="00AC0CE2">
        <w:t xml:space="preserve">ummary till year end 2024 is illustrated in figure </w:t>
      </w:r>
      <w:r w:rsidR="00F23044">
        <w:t>27</w:t>
      </w:r>
      <w:r w:rsidR="00AC0CE2">
        <w:t>.</w:t>
      </w:r>
      <w:r>
        <w:t xml:space="preserve"> Additional data includes:</w:t>
      </w:r>
    </w:p>
    <w:p w14:paraId="794DA38D" w14:textId="4717C89B" w:rsidR="00AC0CE2" w:rsidRDefault="00AC0CE2" w:rsidP="00A66CC0">
      <w:pPr>
        <w:pStyle w:val="ListParagraph"/>
        <w:numPr>
          <w:ilvl w:val="0"/>
          <w:numId w:val="33"/>
        </w:numPr>
        <w:jc w:val="both"/>
      </w:pPr>
      <w:r>
        <w:t>Cost of new well drilling</w:t>
      </w:r>
      <w:r w:rsidR="00A66CC0">
        <w:t xml:space="preserve"> is</w:t>
      </w:r>
      <w:r>
        <w:t xml:space="preserve"> $350,000</w:t>
      </w:r>
    </w:p>
    <w:p w14:paraId="32885128" w14:textId="77777777" w:rsidR="00AC0CE2" w:rsidRDefault="00AC0CE2" w:rsidP="00A66CC0">
      <w:pPr>
        <w:pStyle w:val="ListParagraph"/>
        <w:numPr>
          <w:ilvl w:val="0"/>
          <w:numId w:val="33"/>
        </w:numPr>
        <w:jc w:val="both"/>
      </w:pPr>
      <w:r>
        <w:t>Cost of outfitting a well $80,000</w:t>
      </w:r>
    </w:p>
    <w:p w14:paraId="329E4BF7" w14:textId="04B2518F" w:rsidR="00AC0CE2" w:rsidRDefault="00AC0CE2" w:rsidP="00A66CC0">
      <w:pPr>
        <w:pStyle w:val="ListParagraph"/>
        <w:numPr>
          <w:ilvl w:val="0"/>
          <w:numId w:val="33"/>
        </w:numPr>
        <w:jc w:val="both"/>
      </w:pPr>
      <w:r>
        <w:t xml:space="preserve">Pipeline </w:t>
      </w:r>
      <w:r w:rsidR="00A66CC0">
        <w:t xml:space="preserve">cost is estimated at </w:t>
      </w:r>
      <w:r>
        <w:t>50 cents/bbl</w:t>
      </w:r>
    </w:p>
    <w:p w14:paraId="7DD513CD" w14:textId="38FDC1DB" w:rsidR="00AC0CE2" w:rsidRDefault="00AC0CE2" w:rsidP="00A66CC0">
      <w:pPr>
        <w:pStyle w:val="ListParagraph"/>
        <w:numPr>
          <w:ilvl w:val="0"/>
          <w:numId w:val="33"/>
        </w:numPr>
        <w:jc w:val="both"/>
      </w:pPr>
      <w:r>
        <w:t>Owner payment $1 million Annual payment to maintain P</w:t>
      </w:r>
      <w:r w:rsidR="008B7760">
        <w:t>roduction Sharing Agreement</w:t>
      </w:r>
      <w:r>
        <w:t xml:space="preserve"> until 500 bopd is reached then no further payment</w:t>
      </w:r>
    </w:p>
    <w:p w14:paraId="72658DD7" w14:textId="2B53AF11" w:rsidR="00AC0CE2" w:rsidRDefault="00AC0CE2" w:rsidP="00A66CC0">
      <w:pPr>
        <w:pStyle w:val="ListParagraph"/>
        <w:numPr>
          <w:ilvl w:val="0"/>
          <w:numId w:val="33"/>
        </w:numPr>
        <w:jc w:val="both"/>
      </w:pPr>
      <w:r>
        <w:t>Long term steam generator</w:t>
      </w:r>
      <w:r w:rsidR="008B7760">
        <w:t xml:space="preserve"> cost is</w:t>
      </w:r>
      <w:r>
        <w:t xml:space="preserve"> $1.2 million</w:t>
      </w:r>
    </w:p>
    <w:p w14:paraId="3CFF6060" w14:textId="4D70C4CA" w:rsidR="00AC0CE2" w:rsidRDefault="00AC0CE2" w:rsidP="00A66CC0">
      <w:pPr>
        <w:pStyle w:val="ListParagraph"/>
        <w:numPr>
          <w:ilvl w:val="0"/>
          <w:numId w:val="33"/>
        </w:numPr>
        <w:jc w:val="both"/>
      </w:pPr>
      <w:r>
        <w:t>Field improvements</w:t>
      </w:r>
      <w:r w:rsidR="008B7760">
        <w:t xml:space="preserve"> are</w:t>
      </w:r>
      <w:r>
        <w:t xml:space="preserve"> 5% of gross revenue after 6 months</w:t>
      </w:r>
    </w:p>
    <w:p w14:paraId="1D5F2D8D" w14:textId="68B4D3BD" w:rsidR="00A66CC0" w:rsidRDefault="008B7760" w:rsidP="00AC0CE2">
      <w:pPr>
        <w:jc w:val="both"/>
      </w:pPr>
      <w:r>
        <w:t>Taxes and Royalties are as follows:</w:t>
      </w:r>
    </w:p>
    <w:p w14:paraId="2C2112AD" w14:textId="10335C0E" w:rsidR="00AC0CE2" w:rsidRDefault="00AC0CE2" w:rsidP="008B7760">
      <w:pPr>
        <w:pStyle w:val="ListParagraph"/>
        <w:numPr>
          <w:ilvl w:val="0"/>
          <w:numId w:val="34"/>
        </w:numPr>
        <w:jc w:val="both"/>
      </w:pPr>
      <w:r>
        <w:t>Government production participation 8% is govt’s cut of gross production</w:t>
      </w:r>
    </w:p>
    <w:p w14:paraId="0BD63B7C" w14:textId="77777777" w:rsidR="00AC0CE2" w:rsidRDefault="00AC0CE2" w:rsidP="008B7760">
      <w:pPr>
        <w:pStyle w:val="ListParagraph"/>
        <w:numPr>
          <w:ilvl w:val="0"/>
          <w:numId w:val="34"/>
        </w:numPr>
        <w:jc w:val="both"/>
      </w:pPr>
      <w:r>
        <w:t>Government royalty 8%</w:t>
      </w:r>
    </w:p>
    <w:p w14:paraId="34B4C636" w14:textId="79C0D828" w:rsidR="00AC0CE2" w:rsidRDefault="00AC0CE2" w:rsidP="008B7760">
      <w:pPr>
        <w:pStyle w:val="ListParagraph"/>
        <w:numPr>
          <w:ilvl w:val="0"/>
          <w:numId w:val="34"/>
        </w:numPr>
        <w:jc w:val="both"/>
      </w:pPr>
      <w:r>
        <w:t>Witholding tax 15%, generally 30% but there is a 50% reduction when using EOR</w:t>
      </w:r>
    </w:p>
    <w:p w14:paraId="0E948F82" w14:textId="486FF7DF" w:rsidR="002F714D" w:rsidRPr="004B5152" w:rsidRDefault="008B7760" w:rsidP="00F331A0">
      <w:pPr>
        <w:pStyle w:val="ListParagraph"/>
        <w:numPr>
          <w:ilvl w:val="0"/>
          <w:numId w:val="34"/>
        </w:numPr>
        <w:jc w:val="both"/>
      </w:pPr>
      <w:r>
        <w:t>T&amp;T offer a tax credit of 30% of the cost of investment of up to a maximum of TT $500,000 for companies that invest in carbon capture and storage and enhanced oil recovery</w:t>
      </w:r>
    </w:p>
    <w:p w14:paraId="40AECBA8" w14:textId="0CC7CD37" w:rsidR="00235E54" w:rsidRDefault="00235E54" w:rsidP="00F331A0">
      <w:pPr>
        <w:jc w:val="both"/>
      </w:pPr>
    </w:p>
    <w:p w14:paraId="68188102" w14:textId="21E80E6D" w:rsidR="00235E54" w:rsidRDefault="007B36CB" w:rsidP="00F331A0">
      <w:pPr>
        <w:jc w:val="both"/>
        <w:rPr>
          <w:sz w:val="20"/>
          <w:szCs w:val="20"/>
          <w:lang w:val="en-US"/>
        </w:rPr>
      </w:pPr>
      <w:r>
        <w:rPr>
          <w:noProof/>
          <w:sz w:val="20"/>
          <w:szCs w:val="20"/>
          <w:lang w:val="en-US"/>
        </w:rPr>
        <w:drawing>
          <wp:inline distT="0" distB="0" distL="0" distR="0" wp14:anchorId="5E7E2764" wp14:editId="1769B42C">
            <wp:extent cx="5731510" cy="4163695"/>
            <wp:effectExtent l="0" t="0" r="2540" b="8255"/>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2051"/>
                    <pic:cNvPicPr/>
                  </pic:nvPicPr>
                  <pic:blipFill>
                    <a:blip r:embed="rId40"/>
                    <a:stretch>
                      <a:fillRect/>
                    </a:stretch>
                  </pic:blipFill>
                  <pic:spPr>
                    <a:xfrm>
                      <a:off x="0" y="0"/>
                      <a:ext cx="5731510" cy="4163695"/>
                    </a:xfrm>
                    <a:prstGeom prst="rect">
                      <a:avLst/>
                    </a:prstGeom>
                  </pic:spPr>
                </pic:pic>
              </a:graphicData>
            </a:graphic>
          </wp:inline>
        </w:drawing>
      </w:r>
    </w:p>
    <w:p w14:paraId="26A06AD4" w14:textId="3DC526C3" w:rsidR="00235E54" w:rsidRDefault="00235E54" w:rsidP="00F331A0">
      <w:pPr>
        <w:jc w:val="both"/>
        <w:rPr>
          <w:sz w:val="20"/>
          <w:szCs w:val="20"/>
          <w:lang w:val="en-US"/>
        </w:rPr>
      </w:pPr>
      <w:r>
        <w:rPr>
          <w:sz w:val="20"/>
          <w:szCs w:val="20"/>
          <w:lang w:val="en-US"/>
        </w:rPr>
        <w:t xml:space="preserve">Figure </w:t>
      </w:r>
      <w:r w:rsidR="00F23044">
        <w:rPr>
          <w:sz w:val="20"/>
          <w:szCs w:val="20"/>
          <w:lang w:val="en-US"/>
        </w:rPr>
        <w:t>24</w:t>
      </w:r>
      <w:r>
        <w:rPr>
          <w:sz w:val="20"/>
          <w:szCs w:val="20"/>
          <w:lang w:val="en-US"/>
        </w:rPr>
        <w:t>.</w:t>
      </w:r>
      <w:r w:rsidR="009357B4">
        <w:rPr>
          <w:sz w:val="20"/>
          <w:szCs w:val="20"/>
          <w:lang w:val="en-US"/>
        </w:rPr>
        <w:t xml:space="preserve"> Upon investor capital input production at Parrylands Block E is expected to increase rapidly</w:t>
      </w:r>
      <w:r w:rsidR="009C5F08">
        <w:rPr>
          <w:sz w:val="20"/>
          <w:szCs w:val="20"/>
          <w:lang w:val="en-US"/>
        </w:rPr>
        <w:t xml:space="preserve"> to more than 6,000 bopd in 20 months</w:t>
      </w:r>
      <w:r w:rsidR="009357B4">
        <w:rPr>
          <w:sz w:val="20"/>
          <w:szCs w:val="20"/>
          <w:lang w:val="en-US"/>
        </w:rPr>
        <w:t>.</w:t>
      </w:r>
    </w:p>
    <w:p w14:paraId="173FD102" w14:textId="77777777" w:rsidR="00235E54" w:rsidRDefault="00235E54" w:rsidP="00F331A0">
      <w:pPr>
        <w:jc w:val="both"/>
        <w:rPr>
          <w:sz w:val="20"/>
          <w:szCs w:val="20"/>
          <w:lang w:val="en-US"/>
        </w:rPr>
      </w:pPr>
    </w:p>
    <w:p w14:paraId="352D2D0A" w14:textId="55BEA12C" w:rsidR="006342C3" w:rsidRDefault="007B36CB" w:rsidP="006342C3">
      <w:pPr>
        <w:jc w:val="both"/>
      </w:pPr>
      <w:r>
        <w:rPr>
          <w:noProof/>
        </w:rPr>
        <w:lastRenderedPageBreak/>
        <w:drawing>
          <wp:inline distT="0" distB="0" distL="0" distR="0" wp14:anchorId="0D39E589" wp14:editId="11AEE7AC">
            <wp:extent cx="5731510" cy="4163695"/>
            <wp:effectExtent l="0" t="0" r="2540" b="8255"/>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050"/>
                    <pic:cNvPicPr/>
                  </pic:nvPicPr>
                  <pic:blipFill>
                    <a:blip r:embed="rId41"/>
                    <a:stretch>
                      <a:fillRect/>
                    </a:stretch>
                  </pic:blipFill>
                  <pic:spPr>
                    <a:xfrm>
                      <a:off x="0" y="0"/>
                      <a:ext cx="5731510" cy="4163695"/>
                    </a:xfrm>
                    <a:prstGeom prst="rect">
                      <a:avLst/>
                    </a:prstGeom>
                  </pic:spPr>
                </pic:pic>
              </a:graphicData>
            </a:graphic>
          </wp:inline>
        </w:drawing>
      </w:r>
    </w:p>
    <w:p w14:paraId="6BEB218E" w14:textId="4453C63D" w:rsidR="006342C3" w:rsidRDefault="006342C3" w:rsidP="006342C3">
      <w:pPr>
        <w:jc w:val="both"/>
      </w:pPr>
      <w:r>
        <w:t xml:space="preserve">Figure </w:t>
      </w:r>
      <w:r w:rsidR="00F23044">
        <w:t>25</w:t>
      </w:r>
      <w:r>
        <w:t>.</w:t>
      </w:r>
      <w:r w:rsidR="009357B4">
        <w:t xml:space="preserve"> Cash flow will accumulate quickly with increased oil production and revenue.</w:t>
      </w:r>
    </w:p>
    <w:p w14:paraId="504D018F" w14:textId="3541998D" w:rsidR="007439B8" w:rsidRDefault="007439B8" w:rsidP="006342C3">
      <w:pPr>
        <w:jc w:val="both"/>
      </w:pPr>
    </w:p>
    <w:p w14:paraId="30AC7E74" w14:textId="48D53247" w:rsidR="007439B8" w:rsidRDefault="003758EA" w:rsidP="006342C3">
      <w:pPr>
        <w:jc w:val="both"/>
      </w:pPr>
      <w:r>
        <w:rPr>
          <w:noProof/>
        </w:rPr>
        <w:drawing>
          <wp:inline distT="0" distB="0" distL="0" distR="0" wp14:anchorId="32CFF9F8" wp14:editId="07790583">
            <wp:extent cx="5731510" cy="3597910"/>
            <wp:effectExtent l="0" t="0" r="2540" b="2540"/>
            <wp:docPr id="2048" name="Picture 204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descr="Table&#10;&#10;Description automatically generated"/>
                    <pic:cNvPicPr/>
                  </pic:nvPicPr>
                  <pic:blipFill>
                    <a:blip r:embed="rId42"/>
                    <a:stretch>
                      <a:fillRect/>
                    </a:stretch>
                  </pic:blipFill>
                  <pic:spPr>
                    <a:xfrm>
                      <a:off x="0" y="0"/>
                      <a:ext cx="5731510" cy="3597910"/>
                    </a:xfrm>
                    <a:prstGeom prst="rect">
                      <a:avLst/>
                    </a:prstGeom>
                  </pic:spPr>
                </pic:pic>
              </a:graphicData>
            </a:graphic>
          </wp:inline>
        </w:drawing>
      </w:r>
    </w:p>
    <w:p w14:paraId="173CCA47" w14:textId="0ADA5BAC" w:rsidR="00773509" w:rsidRDefault="003758EA" w:rsidP="006342C3">
      <w:pPr>
        <w:jc w:val="both"/>
      </w:pPr>
      <w:r>
        <w:t xml:space="preserve">Figure </w:t>
      </w:r>
      <w:r w:rsidR="00F23044">
        <w:t>26</w:t>
      </w:r>
      <w:r>
        <w:t>. Capital and Operational costs for the first 7 months (in $millions)</w:t>
      </w:r>
    </w:p>
    <w:p w14:paraId="6F656127" w14:textId="77777777" w:rsidR="00773509" w:rsidRDefault="00773509" w:rsidP="006342C3">
      <w:pPr>
        <w:jc w:val="both"/>
      </w:pPr>
    </w:p>
    <w:p w14:paraId="6E20B406" w14:textId="1F4D0018" w:rsidR="00773509" w:rsidRDefault="00122A86" w:rsidP="006342C3">
      <w:pPr>
        <w:jc w:val="both"/>
      </w:pPr>
      <w:r>
        <w:rPr>
          <w:noProof/>
        </w:rPr>
        <w:drawing>
          <wp:inline distT="0" distB="0" distL="0" distR="0" wp14:anchorId="1FAD60EC" wp14:editId="17D986AA">
            <wp:extent cx="5731510" cy="1584960"/>
            <wp:effectExtent l="0" t="0" r="2540" b="0"/>
            <wp:docPr id="27" name="Picture 2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a computer&#10;&#10;Description automatically generated with medium confidence"/>
                    <pic:cNvPicPr/>
                  </pic:nvPicPr>
                  <pic:blipFill>
                    <a:blip r:embed="rId43"/>
                    <a:stretch>
                      <a:fillRect/>
                    </a:stretch>
                  </pic:blipFill>
                  <pic:spPr>
                    <a:xfrm>
                      <a:off x="0" y="0"/>
                      <a:ext cx="5731510" cy="1584960"/>
                    </a:xfrm>
                    <a:prstGeom prst="rect">
                      <a:avLst/>
                    </a:prstGeom>
                  </pic:spPr>
                </pic:pic>
              </a:graphicData>
            </a:graphic>
          </wp:inline>
        </w:drawing>
      </w:r>
    </w:p>
    <w:p w14:paraId="05E38853" w14:textId="4B68CF5A" w:rsidR="00122A86" w:rsidRDefault="00122A86" w:rsidP="006342C3">
      <w:pPr>
        <w:jc w:val="both"/>
      </w:pPr>
      <w:r>
        <w:rPr>
          <w:noProof/>
        </w:rPr>
        <w:drawing>
          <wp:inline distT="0" distB="0" distL="0" distR="0" wp14:anchorId="309B4DA4" wp14:editId="6B58A983">
            <wp:extent cx="5731510" cy="1558925"/>
            <wp:effectExtent l="0" t="0" r="2540" b="3175"/>
            <wp:docPr id="55" name="Picture 5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screenshot of a computer&#10;&#10;Description automatically generated with medium confidence"/>
                    <pic:cNvPicPr/>
                  </pic:nvPicPr>
                  <pic:blipFill>
                    <a:blip r:embed="rId44"/>
                    <a:stretch>
                      <a:fillRect/>
                    </a:stretch>
                  </pic:blipFill>
                  <pic:spPr>
                    <a:xfrm>
                      <a:off x="0" y="0"/>
                      <a:ext cx="5731510" cy="1558925"/>
                    </a:xfrm>
                    <a:prstGeom prst="rect">
                      <a:avLst/>
                    </a:prstGeom>
                  </pic:spPr>
                </pic:pic>
              </a:graphicData>
            </a:graphic>
          </wp:inline>
        </w:drawing>
      </w:r>
    </w:p>
    <w:p w14:paraId="0EE78FFB" w14:textId="190617F2" w:rsidR="00773509" w:rsidRDefault="002A6772" w:rsidP="006342C3">
      <w:pPr>
        <w:jc w:val="both"/>
      </w:pPr>
      <w:r>
        <w:rPr>
          <w:noProof/>
        </w:rPr>
        <w:drawing>
          <wp:inline distT="0" distB="0" distL="0" distR="0" wp14:anchorId="19D16919" wp14:editId="6FB8C2CF">
            <wp:extent cx="5731510" cy="1453515"/>
            <wp:effectExtent l="0" t="0" r="2540" b="0"/>
            <wp:docPr id="58" name="Picture 58"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alendar&#10;&#10;Description automatically generated"/>
                    <pic:cNvPicPr/>
                  </pic:nvPicPr>
                  <pic:blipFill>
                    <a:blip r:embed="rId45"/>
                    <a:stretch>
                      <a:fillRect/>
                    </a:stretch>
                  </pic:blipFill>
                  <pic:spPr>
                    <a:xfrm>
                      <a:off x="0" y="0"/>
                      <a:ext cx="5731510" cy="1453515"/>
                    </a:xfrm>
                    <a:prstGeom prst="rect">
                      <a:avLst/>
                    </a:prstGeom>
                  </pic:spPr>
                </pic:pic>
              </a:graphicData>
            </a:graphic>
          </wp:inline>
        </w:drawing>
      </w:r>
    </w:p>
    <w:p w14:paraId="50084109" w14:textId="3BE9F1A5" w:rsidR="00773509" w:rsidRDefault="002A6772" w:rsidP="006342C3">
      <w:pPr>
        <w:jc w:val="both"/>
      </w:pPr>
      <w:r>
        <w:t xml:space="preserve">Figure </w:t>
      </w:r>
      <w:r w:rsidR="00F23044">
        <w:t>27</w:t>
      </w:r>
      <w:r>
        <w:t>. Financial Summary for Jun 2022-December 2024</w:t>
      </w:r>
    </w:p>
    <w:p w14:paraId="102048FB" w14:textId="5B9CC871" w:rsidR="00921C0D" w:rsidRDefault="00921C0D" w:rsidP="006342C3">
      <w:pPr>
        <w:jc w:val="both"/>
      </w:pPr>
    </w:p>
    <w:p w14:paraId="28C28473" w14:textId="53882C58" w:rsidR="00921C0D" w:rsidRDefault="00921C0D" w:rsidP="00D253A3">
      <w:pPr>
        <w:pStyle w:val="Heading2"/>
      </w:pPr>
      <w:bookmarkStart w:id="28" w:name="_Toc109039055"/>
      <w:r>
        <w:t>Doing Business in Trinidad &amp; Tobago</w:t>
      </w:r>
      <w:bookmarkEnd w:id="28"/>
    </w:p>
    <w:p w14:paraId="076E2AA4" w14:textId="77777777" w:rsidR="00D253A3" w:rsidRPr="00786FA8" w:rsidRDefault="00D253A3" w:rsidP="006342C3">
      <w:pPr>
        <w:jc w:val="both"/>
      </w:pPr>
    </w:p>
    <w:p w14:paraId="2E825264" w14:textId="5D942137" w:rsidR="00921C0D" w:rsidRDefault="00921C0D" w:rsidP="006342C3">
      <w:pPr>
        <w:jc w:val="both"/>
      </w:pPr>
      <w:r w:rsidRPr="00786FA8">
        <w:t>Trinidad and Tobago (“T&amp;T”) consists of twin Caribbean Islands just off the NE coast of Venezuela</w:t>
      </w:r>
      <w:r w:rsidR="00786FA8">
        <w:t xml:space="preserve"> and is an</w:t>
      </w:r>
      <w:r w:rsidRPr="00786FA8">
        <w:t xml:space="preserve"> </w:t>
      </w:r>
      <w:r w:rsidR="00FB3C4A" w:rsidRPr="00786FA8">
        <w:t>English-Speaking</w:t>
      </w:r>
      <w:r w:rsidRPr="00786FA8">
        <w:t xml:space="preserve"> Democracy (former British territory)</w:t>
      </w:r>
      <w:r w:rsidR="00786FA8">
        <w:t>.</w:t>
      </w:r>
      <w:r w:rsidRPr="00786FA8">
        <w:t xml:space="preserve"> T&amp;T attracts considerable foreign direct investment from international businesses, particularly in energy, reaching $2.4b in 2014. Energy production and downstream industrial use dominate the economy and T&amp;T is the largest oil and gas producer in the Caribbean</w:t>
      </w:r>
      <w:r w:rsidR="00786FA8">
        <w:t>, p</w:t>
      </w:r>
      <w:r w:rsidRPr="00786FA8">
        <w:t>roducing oil &amp; gas for over 100-years with over 3 billion barrels of oil produced to date.</w:t>
      </w:r>
    </w:p>
    <w:p w14:paraId="3EF07040" w14:textId="290F2835" w:rsidR="00921C0D" w:rsidRDefault="00921C0D" w:rsidP="006342C3">
      <w:pPr>
        <w:jc w:val="both"/>
      </w:pPr>
    </w:p>
    <w:p w14:paraId="458654BE" w14:textId="202208A5" w:rsidR="00921C0D" w:rsidRDefault="00786FA8" w:rsidP="006342C3">
      <w:pPr>
        <w:jc w:val="both"/>
      </w:pPr>
      <w:r>
        <w:t xml:space="preserve">T&amp;T is the </w:t>
      </w:r>
      <w:r w:rsidR="00921C0D">
        <w:t xml:space="preserve">3rd richest country by GDP per capita ($32.35B in 2015) in the Americas after </w:t>
      </w:r>
      <w:r>
        <w:t xml:space="preserve">the </w:t>
      </w:r>
      <w:r w:rsidR="00921C0D">
        <w:t>U.S.</w:t>
      </w:r>
      <w:r>
        <w:t>A</w:t>
      </w:r>
      <w:r w:rsidR="00921C0D">
        <w:t xml:space="preserve"> and Canada, 40% of GDP coming from Oil &amp; Gas. Judicial system upholds the sanctity of contracts and generally provides a level playing field for foreign investors involved in court matters (US Embassy) via The Foreign Investment Act of 1990. Robust economic and political relationship with U.S achieving </w:t>
      </w:r>
      <w:r w:rsidR="00921C0D">
        <w:lastRenderedPageBreak/>
        <w:t>“Most Favored Nation</w:t>
      </w:r>
      <w:r w:rsidR="00FB3C4A">
        <w:t>”</w:t>
      </w:r>
      <w:r w:rsidR="00921C0D">
        <w:t xml:space="preserve"> Status with U.S. The United States is the country’s largest trading partner, accounting for 33% of its total imports and taking 44% of its exports. Paid in U.S. Dollars / Free Flow of Capital through bank wire.</w:t>
      </w:r>
    </w:p>
    <w:p w14:paraId="034271A1" w14:textId="270DDF64" w:rsidR="00D253A3" w:rsidRDefault="00D253A3" w:rsidP="006342C3">
      <w:pPr>
        <w:jc w:val="both"/>
      </w:pPr>
    </w:p>
    <w:p w14:paraId="04DA537D" w14:textId="408FE6AA" w:rsidR="00DE7095" w:rsidRDefault="00D253A3" w:rsidP="00786FA8">
      <w:pPr>
        <w:jc w:val="both"/>
      </w:pPr>
      <w:r>
        <w:t xml:space="preserve">Proven oil reserves estimated by EIA in 2013 at 728 million barrels / 3P at 25.24 trillion cubic feet of natural gas. In 2013, T&amp;T was the world’s sixth-largest liquefied natural gas (LNG) exporter and is home to one of the largest natural gas liquefaction facilities in the Western Hemisphere, the Phoenix Park Gas Processors Limited (“PPGPL”) is capable of processing up to 1.95 </w:t>
      </w:r>
      <w:r w:rsidR="00571CE5">
        <w:t>B</w:t>
      </w:r>
      <w:r>
        <w:t>scf of natural gas per day. With 11 ammonia plants and seven methanol plants, Trinidad and Tobago is the world’s largest exporter of ammonia and the second largest exporter of methanol globally. Major Players include Atlantic LNG, British Gas, BP, Texaco, BHP, Chevron, EOG, Niko Resources, Range Resources and Trinmar.</w:t>
      </w:r>
    </w:p>
    <w:p w14:paraId="4345358C" w14:textId="77777777" w:rsidR="00624D6E" w:rsidRDefault="00624D6E" w:rsidP="00990474">
      <w:pPr>
        <w:jc w:val="both"/>
      </w:pPr>
    </w:p>
    <w:p w14:paraId="0BB50A13" w14:textId="0EE62EA1" w:rsidR="009D48C3" w:rsidRDefault="00AC5AF1" w:rsidP="00AC5AF1">
      <w:pPr>
        <w:pStyle w:val="Heading1"/>
      </w:pPr>
      <w:bookmarkStart w:id="29" w:name="_Toc109039056"/>
      <w:r>
        <w:t>Conclusions</w:t>
      </w:r>
      <w:bookmarkEnd w:id="29"/>
    </w:p>
    <w:p w14:paraId="077CC514" w14:textId="77777777" w:rsidR="00AC5AF1" w:rsidRDefault="00AC5AF1" w:rsidP="00E474DC">
      <w:pPr>
        <w:jc w:val="both"/>
      </w:pPr>
    </w:p>
    <w:bookmarkEnd w:id="2"/>
    <w:p w14:paraId="3004FB8C" w14:textId="68DA1E03" w:rsidR="00F12DD5" w:rsidRDefault="00E9788E" w:rsidP="00F12DD5">
      <w:pPr>
        <w:jc w:val="both"/>
      </w:pPr>
      <w:r>
        <w:t>Since GCA certified</w:t>
      </w:r>
      <w:r w:rsidR="00A801BA">
        <w:t xml:space="preserve"> Proved Reserves of</w:t>
      </w:r>
      <w:r>
        <w:t xml:space="preserve"> </w:t>
      </w:r>
      <w:r w:rsidR="00A801BA">
        <w:t>1,379 Mstb (1P), Proved + Probable of 9,908 Mstb (2P), Proved + Probable + Possible 13,675 Mstb (3P) and 17,933 Mstb of Contingent Resource</w:t>
      </w:r>
      <w:r w:rsidR="00FC43EE">
        <w:t>s</w:t>
      </w:r>
      <w:r w:rsidR="0092412F">
        <w:t xml:space="preserve"> from an OOIP estimate of 81 MMBO</w:t>
      </w:r>
      <w:r w:rsidR="00A801BA">
        <w:t xml:space="preserve"> i</w:t>
      </w:r>
      <w:r>
        <w:t xml:space="preserve">n 2008, New Horizon Energy and </w:t>
      </w:r>
      <w:r>
        <w:t>Greenflame</w:t>
      </w:r>
      <w:r>
        <w:t xml:space="preserve"> Energy Inc ha</w:t>
      </w:r>
      <w:r w:rsidR="00FC43EE">
        <w:t>ve</w:t>
      </w:r>
      <w:r>
        <w:t xml:space="preserve"> invested on the order of $20MM</w:t>
      </w:r>
      <w:r>
        <w:t xml:space="preserve"> </w:t>
      </w:r>
      <w:r w:rsidR="005E2670">
        <w:t>in new well drilling, well workovers</w:t>
      </w:r>
      <w:r w:rsidR="00CC5578">
        <w:t>, pump installations</w:t>
      </w:r>
      <w:r w:rsidR="005E2670">
        <w:t xml:space="preserve"> and </w:t>
      </w:r>
      <w:r w:rsidR="00CC5578">
        <w:t xml:space="preserve">improved </w:t>
      </w:r>
      <w:r w:rsidR="005E2670">
        <w:t>reservoir management</w:t>
      </w:r>
      <w:r w:rsidR="00CC5578">
        <w:t xml:space="preserve"> </w:t>
      </w:r>
      <w:r w:rsidR="00C60218">
        <w:t>activities</w:t>
      </w:r>
      <w:r w:rsidR="00FC43EE">
        <w:t xml:space="preserve"> in Block E of the Parrylands field</w:t>
      </w:r>
      <w:r w:rsidR="00CC5578">
        <w:t>. Greenflame has i</w:t>
      </w:r>
      <w:r w:rsidR="005E2670">
        <w:t xml:space="preserve">ntroduced </w:t>
      </w:r>
      <w:r w:rsidR="00FC43EE">
        <w:t xml:space="preserve">the </w:t>
      </w:r>
      <w:r w:rsidR="005E2670">
        <w:t>advanced EOR technologies of superheated stea</w:t>
      </w:r>
      <w:r w:rsidR="00FC43EE">
        <w:t>m</w:t>
      </w:r>
      <w:r w:rsidR="007254F6">
        <w:t xml:space="preserve"> &amp; </w:t>
      </w:r>
      <w:r w:rsidR="005E2670">
        <w:t>flue gas</w:t>
      </w:r>
      <w:r w:rsidR="00936781">
        <w:t xml:space="preserve"> </w:t>
      </w:r>
      <w:r w:rsidR="00936781">
        <w:t>(up to 100% CO</w:t>
      </w:r>
      <w:r w:rsidR="00936781" w:rsidRPr="00AC08CD">
        <w:rPr>
          <w:vertAlign w:val="subscript"/>
        </w:rPr>
        <w:t>2</w:t>
      </w:r>
      <w:r w:rsidR="00936781">
        <w:t>)</w:t>
      </w:r>
      <w:r w:rsidR="005E2670">
        <w:t xml:space="preserve"> injection</w:t>
      </w:r>
      <w:r w:rsidR="00FC43EE">
        <w:t xml:space="preserve"> and CO</w:t>
      </w:r>
      <w:r w:rsidR="00FC43EE" w:rsidRPr="00FC43EE">
        <w:rPr>
          <w:vertAlign w:val="subscript"/>
        </w:rPr>
        <w:t>2</w:t>
      </w:r>
      <w:r w:rsidR="00FC43EE">
        <w:t xml:space="preserve"> sequestration </w:t>
      </w:r>
      <w:r w:rsidR="00A143BE">
        <w:t xml:space="preserve">that are now available </w:t>
      </w:r>
      <w:r w:rsidR="00CC5578">
        <w:t>for</w:t>
      </w:r>
      <w:r w:rsidR="00FC43EE">
        <w:t xml:space="preserve"> </w:t>
      </w:r>
      <w:r w:rsidR="00CC5578">
        <w:t xml:space="preserve">deployment in </w:t>
      </w:r>
      <w:r w:rsidR="00FC719C">
        <w:t>the</w:t>
      </w:r>
      <w:r w:rsidR="00CC5578">
        <w:t xml:space="preserve"> 110 existing wells</w:t>
      </w:r>
      <w:r w:rsidR="0092412F">
        <w:t xml:space="preserve"> </w:t>
      </w:r>
      <w:r w:rsidR="007F781E">
        <w:t xml:space="preserve">in the field </w:t>
      </w:r>
      <w:r w:rsidR="0092412F">
        <w:t>and</w:t>
      </w:r>
      <w:r w:rsidR="005E2670">
        <w:t xml:space="preserve"> </w:t>
      </w:r>
      <w:r>
        <w:t xml:space="preserve">is seeking an updated and upgraded resource and reserves certification from </w:t>
      </w:r>
      <w:r w:rsidRPr="003C7906">
        <w:t>Netherland Sewell and Associates (NSAI)</w:t>
      </w:r>
      <w:r w:rsidR="00B86DE3">
        <w:t xml:space="preserve"> to inform potential investor capital.</w:t>
      </w:r>
      <w:r w:rsidR="00627A4B">
        <w:t xml:space="preserve"> GCA classified Contingent Resources</w:t>
      </w:r>
      <w:r w:rsidR="007F781E">
        <w:t xml:space="preserve"> only</w:t>
      </w:r>
      <w:r w:rsidR="00627A4B">
        <w:t xml:space="preserve"> in the northern half of Block E citing the lack of a development plan and geological uncertainty because of insufficient well density. NHE has since drilled 32 new wells in the north such that the fieldwide </w:t>
      </w:r>
      <w:r w:rsidR="007F781E">
        <w:t xml:space="preserve">well </w:t>
      </w:r>
      <w:r w:rsidR="00627A4B">
        <w:t xml:space="preserve">spacing is </w:t>
      </w:r>
      <w:r w:rsidR="00F12DD5">
        <w:t xml:space="preserve">now </w:t>
      </w:r>
      <w:r w:rsidR="00627A4B">
        <w:t>2.5-acres or less.</w:t>
      </w:r>
    </w:p>
    <w:p w14:paraId="4095111A" w14:textId="33811E2F" w:rsidR="00E9788E" w:rsidRDefault="00E9788E" w:rsidP="00E9788E">
      <w:pPr>
        <w:jc w:val="both"/>
      </w:pPr>
    </w:p>
    <w:p w14:paraId="79DDD525" w14:textId="64BE375E" w:rsidR="00A358C1" w:rsidRDefault="00352B30" w:rsidP="00E9788E">
      <w:pPr>
        <w:jc w:val="both"/>
      </w:pPr>
      <w:r>
        <w:t xml:space="preserve">Heavy oil residing in the </w:t>
      </w:r>
      <w:r w:rsidR="00301B7C">
        <w:t>high-quality reservoir</w:t>
      </w:r>
      <w:r w:rsidR="00A358C1">
        <w:t>s</w:t>
      </w:r>
      <w:r w:rsidR="00301B7C">
        <w:t xml:space="preserve"> of the </w:t>
      </w:r>
      <w:r w:rsidR="0092412F">
        <w:t xml:space="preserve">Forest Sandstone </w:t>
      </w:r>
      <w:r>
        <w:t xml:space="preserve">proved </w:t>
      </w:r>
      <w:r w:rsidR="00015A1D">
        <w:t>commercially producible by</w:t>
      </w:r>
      <w:r>
        <w:t xml:space="preserve"> thermal stimulation</w:t>
      </w:r>
      <w:r w:rsidR="00015A1D">
        <w:t xml:space="preserve"> methods</w:t>
      </w:r>
      <w:r>
        <w:t xml:space="preserve"> from the highly successful 30-acre steam pilot </w:t>
      </w:r>
      <w:r w:rsidR="00015A1D">
        <w:t xml:space="preserve">adjacent to the </w:t>
      </w:r>
      <w:r w:rsidR="00301B7C">
        <w:t xml:space="preserve">western </w:t>
      </w:r>
      <w:r w:rsidR="00015A1D">
        <w:t>boundary</w:t>
      </w:r>
      <w:r w:rsidR="00301B7C">
        <w:t xml:space="preserve"> of Block E.</w:t>
      </w:r>
      <w:r w:rsidR="00015A1D">
        <w:t xml:space="preserve"> </w:t>
      </w:r>
      <w:r w:rsidR="00301B7C">
        <w:t>U</w:t>
      </w:r>
      <w:r w:rsidR="00015A1D">
        <w:t>ndertaken by Petrotrin/Texaco from 1981-2003</w:t>
      </w:r>
      <w:r w:rsidR="00301B7C">
        <w:t>, the thermal pilot</w:t>
      </w:r>
      <w:r>
        <w:t xml:space="preserve"> recovered ~50% of the 6.1 MMBO</w:t>
      </w:r>
      <w:r w:rsidR="00015A1D">
        <w:t xml:space="preserve"> of OOIP</w:t>
      </w:r>
      <w:r w:rsidR="00301B7C">
        <w:t xml:space="preserve"> at peak producing rates of 750 bopd from 16 wells</w:t>
      </w:r>
      <w:r w:rsidR="00015A1D">
        <w:t>.</w:t>
      </w:r>
      <w:r w:rsidR="0092412F">
        <w:t xml:space="preserve"> </w:t>
      </w:r>
      <w:r w:rsidR="00E9788E" w:rsidRPr="003C7906">
        <w:t>Greenflame</w:t>
      </w:r>
      <w:r w:rsidR="00015A1D">
        <w:t>’s advanced thermal stimulation technologies are predicted to substantially outperform</w:t>
      </w:r>
      <w:r w:rsidR="00A358C1">
        <w:t xml:space="preserve"> Petrotrin/Texaco’s steam pilot with recovery efficiency modeling projections above 80%.</w:t>
      </w:r>
      <w:r w:rsidR="00FC719C">
        <w:t xml:space="preserve"> </w:t>
      </w:r>
      <w:r w:rsidR="00FC719C">
        <w:t>The wells are ready for implementation of the advanced EOR program upon raising investor capital and the economic evaluation promises a low cost, high netback and</w:t>
      </w:r>
      <w:r w:rsidR="00FC719C">
        <w:t>,</w:t>
      </w:r>
      <w:r w:rsidR="00FC719C">
        <w:t xml:space="preserve"> with the added potential for substantial CO</w:t>
      </w:r>
      <w:r w:rsidR="00FC719C" w:rsidRPr="00F13481">
        <w:rPr>
          <w:vertAlign w:val="subscript"/>
        </w:rPr>
        <w:t>2</w:t>
      </w:r>
      <w:r w:rsidR="00FC719C">
        <w:t xml:space="preserve"> sequestration</w:t>
      </w:r>
      <w:r w:rsidR="00FC719C">
        <w:t>,</w:t>
      </w:r>
      <w:r w:rsidR="00FC719C">
        <w:t xml:space="preserve"> potentially carbon neutral oil production.</w:t>
      </w:r>
    </w:p>
    <w:p w14:paraId="42522A98" w14:textId="03D2A17B" w:rsidR="00E9788E" w:rsidRDefault="00E9788E" w:rsidP="00E9788E">
      <w:pPr>
        <w:jc w:val="both"/>
      </w:pPr>
    </w:p>
    <w:p w14:paraId="2AB3C3A3" w14:textId="77777777" w:rsidR="005E6FC9" w:rsidRDefault="005E6FC9" w:rsidP="005E6FC9">
      <w:pPr>
        <w:pStyle w:val="Heading1"/>
      </w:pPr>
      <w:bookmarkStart w:id="30" w:name="_Toc109039057"/>
      <w:r>
        <w:lastRenderedPageBreak/>
        <w:t>References</w:t>
      </w:r>
      <w:bookmarkEnd w:id="30"/>
    </w:p>
    <w:p w14:paraId="488E852E" w14:textId="38F98F2B" w:rsidR="005E6FC9" w:rsidRDefault="005E6FC9" w:rsidP="005E6FC9"/>
    <w:p w14:paraId="7956547D" w14:textId="2362925C" w:rsidR="0033722B" w:rsidRDefault="0033722B" w:rsidP="009B4CEA">
      <w:r>
        <w:t xml:space="preserve">Gaffney, </w:t>
      </w:r>
      <w:proofErr w:type="gramStart"/>
      <w:r>
        <w:t>Cline</w:t>
      </w:r>
      <w:proofErr w:type="gramEnd"/>
      <w:r>
        <w:t xml:space="preserve"> and Associates, 2008, Resource and Reserves Certification of the Parrylands field, Block E, Trinidad.</w:t>
      </w:r>
    </w:p>
    <w:p w14:paraId="55733BA6" w14:textId="77777777" w:rsidR="0033722B" w:rsidRDefault="0033722B" w:rsidP="009B4CEA"/>
    <w:p w14:paraId="0E3E82DD" w14:textId="7FF42D1A" w:rsidR="00FF1018" w:rsidRDefault="00FF1018" w:rsidP="009B4CEA">
      <w:r>
        <w:t>Rambarran, H., 1987, Significance of gravity segregation in heavy oil distribution, Forest ‘A’ reservoir, Parrylands Field, Trinidad, West Indies: Section III. Geological Environments and Migration. American Association of Petroleum Geologists, Special Publication, Studies in Geology # 25, p.281-291.</w:t>
      </w:r>
    </w:p>
    <w:p w14:paraId="1C24FB08" w14:textId="4C360A75" w:rsidR="00FF1018" w:rsidRDefault="00FF1018" w:rsidP="009B4CEA"/>
    <w:p w14:paraId="02F62126" w14:textId="6E857B89" w:rsidR="000F6770" w:rsidRDefault="0097713F" w:rsidP="004F131F">
      <w:r>
        <w:t>Salvador, A., and Stainforth, R.M., 1968, Clues in Venezuela to the geology of Trinidad, and vice-versa: Transactions of the IV Caribbean Geological Conference, Trinidad, p.31-40.</w:t>
      </w:r>
    </w:p>
    <w:p w14:paraId="11E13866" w14:textId="083D5DD3" w:rsidR="003E4255" w:rsidRDefault="003E4255" w:rsidP="004F131F"/>
    <w:p w14:paraId="3545270B" w14:textId="38F79E19" w:rsidR="003E4255" w:rsidRDefault="003E4255">
      <w:r>
        <w:br w:type="page"/>
      </w:r>
    </w:p>
    <w:p w14:paraId="0E78FB67" w14:textId="13D9CF2A" w:rsidR="003E4255" w:rsidRDefault="003E4255" w:rsidP="003E4255">
      <w:pPr>
        <w:pStyle w:val="Heading1"/>
      </w:pPr>
      <w:bookmarkStart w:id="31" w:name="_Toc109039058"/>
      <w:r>
        <w:lastRenderedPageBreak/>
        <w:t>Appendix 1: Audit Wells</w:t>
      </w:r>
      <w:bookmarkEnd w:id="31"/>
    </w:p>
    <w:p w14:paraId="25ED466A" w14:textId="77777777" w:rsidR="005E4BAD" w:rsidRPr="005E4BAD" w:rsidRDefault="005E4BAD" w:rsidP="005E4BAD"/>
    <w:p w14:paraId="7A6D13CD" w14:textId="733BF76C" w:rsidR="00F171B4" w:rsidRDefault="00E21FA9" w:rsidP="00F171B4">
      <w:r>
        <w:rPr>
          <w:noProof/>
        </w:rPr>
        <w:drawing>
          <wp:inline distT="0" distB="0" distL="0" distR="0" wp14:anchorId="5E8FDBD3" wp14:editId="34A1B742">
            <wp:extent cx="5731510" cy="386969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6"/>
                    <a:stretch>
                      <a:fillRect/>
                    </a:stretch>
                  </pic:blipFill>
                  <pic:spPr>
                    <a:xfrm>
                      <a:off x="0" y="0"/>
                      <a:ext cx="5731510" cy="3869690"/>
                    </a:xfrm>
                    <a:prstGeom prst="rect">
                      <a:avLst/>
                    </a:prstGeom>
                  </pic:spPr>
                </pic:pic>
              </a:graphicData>
            </a:graphic>
          </wp:inline>
        </w:drawing>
      </w:r>
    </w:p>
    <w:p w14:paraId="5DF0E329" w14:textId="77777777" w:rsidR="005E4BAD" w:rsidRDefault="005E4BAD" w:rsidP="00F171B4"/>
    <w:p w14:paraId="65F68F4E" w14:textId="07026E83" w:rsidR="005E4BAD" w:rsidRDefault="003D4190" w:rsidP="00F171B4">
      <w:r>
        <w:rPr>
          <w:noProof/>
        </w:rPr>
        <w:drawing>
          <wp:inline distT="0" distB="0" distL="0" distR="0" wp14:anchorId="035647FF" wp14:editId="04D8F074">
            <wp:extent cx="5731510" cy="4016375"/>
            <wp:effectExtent l="0" t="0" r="254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7"/>
                    <a:stretch>
                      <a:fillRect/>
                    </a:stretch>
                  </pic:blipFill>
                  <pic:spPr>
                    <a:xfrm>
                      <a:off x="0" y="0"/>
                      <a:ext cx="5731510" cy="4016375"/>
                    </a:xfrm>
                    <a:prstGeom prst="rect">
                      <a:avLst/>
                    </a:prstGeom>
                  </pic:spPr>
                </pic:pic>
              </a:graphicData>
            </a:graphic>
          </wp:inline>
        </w:drawing>
      </w:r>
    </w:p>
    <w:p w14:paraId="3C3DD9C5" w14:textId="1A7098E3" w:rsidR="00772D23" w:rsidRDefault="004F618F" w:rsidP="00F171B4">
      <w:r>
        <w:rPr>
          <w:noProof/>
        </w:rPr>
        <w:lastRenderedPageBreak/>
        <w:drawing>
          <wp:inline distT="0" distB="0" distL="0" distR="0" wp14:anchorId="6CA600A6" wp14:editId="5A592EA1">
            <wp:extent cx="5731510" cy="4816475"/>
            <wp:effectExtent l="0" t="0" r="254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8"/>
                    <a:stretch>
                      <a:fillRect/>
                    </a:stretch>
                  </pic:blipFill>
                  <pic:spPr>
                    <a:xfrm>
                      <a:off x="0" y="0"/>
                      <a:ext cx="5731510" cy="4816475"/>
                    </a:xfrm>
                    <a:prstGeom prst="rect">
                      <a:avLst/>
                    </a:prstGeom>
                  </pic:spPr>
                </pic:pic>
              </a:graphicData>
            </a:graphic>
          </wp:inline>
        </w:drawing>
      </w:r>
    </w:p>
    <w:p w14:paraId="26CE0BF6" w14:textId="49AD934A" w:rsidR="00BF6CD2" w:rsidRDefault="00BF6CD2" w:rsidP="00F171B4"/>
    <w:p w14:paraId="22F85D32" w14:textId="1E3FBBEF" w:rsidR="00BF6CD2" w:rsidRDefault="00034378" w:rsidP="00F171B4">
      <w:r>
        <w:rPr>
          <w:noProof/>
        </w:rPr>
        <w:lastRenderedPageBreak/>
        <w:drawing>
          <wp:inline distT="0" distB="0" distL="0" distR="0" wp14:anchorId="0E197FF7" wp14:editId="50989660">
            <wp:extent cx="5731510" cy="486664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9"/>
                    <a:stretch>
                      <a:fillRect/>
                    </a:stretch>
                  </pic:blipFill>
                  <pic:spPr>
                    <a:xfrm>
                      <a:off x="0" y="0"/>
                      <a:ext cx="5731510" cy="4866640"/>
                    </a:xfrm>
                    <a:prstGeom prst="rect">
                      <a:avLst/>
                    </a:prstGeom>
                  </pic:spPr>
                </pic:pic>
              </a:graphicData>
            </a:graphic>
          </wp:inline>
        </w:drawing>
      </w:r>
    </w:p>
    <w:p w14:paraId="72E979CB" w14:textId="01F25C75" w:rsidR="001D1A36" w:rsidRDefault="001D1A36" w:rsidP="00F171B4"/>
    <w:p w14:paraId="49D1A3C9" w14:textId="177C4414" w:rsidR="001D1A36" w:rsidRDefault="00267B01" w:rsidP="00F171B4">
      <w:r>
        <w:rPr>
          <w:noProof/>
        </w:rPr>
        <w:lastRenderedPageBreak/>
        <w:drawing>
          <wp:inline distT="0" distB="0" distL="0" distR="0" wp14:anchorId="154C7F78" wp14:editId="532041BC">
            <wp:extent cx="5731510" cy="482600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50"/>
                    <a:stretch>
                      <a:fillRect/>
                    </a:stretch>
                  </pic:blipFill>
                  <pic:spPr>
                    <a:xfrm>
                      <a:off x="0" y="0"/>
                      <a:ext cx="5731510" cy="4826000"/>
                    </a:xfrm>
                    <a:prstGeom prst="rect">
                      <a:avLst/>
                    </a:prstGeom>
                  </pic:spPr>
                </pic:pic>
              </a:graphicData>
            </a:graphic>
          </wp:inline>
        </w:drawing>
      </w:r>
    </w:p>
    <w:p w14:paraId="4CAFCE40" w14:textId="28CAA751" w:rsidR="00E85865" w:rsidRDefault="00E85865">
      <w:pPr>
        <w:rPr>
          <w:noProof/>
        </w:rPr>
      </w:pPr>
      <w:r>
        <w:rPr>
          <w:noProof/>
        </w:rPr>
        <w:br w:type="page"/>
      </w:r>
    </w:p>
    <w:p w14:paraId="1E5C2D4F" w14:textId="73D6A37B" w:rsidR="00E664C6" w:rsidRDefault="00E664C6" w:rsidP="00E85865">
      <w:pPr>
        <w:pStyle w:val="Heading1"/>
      </w:pPr>
      <w:bookmarkStart w:id="32" w:name="_Toc109039059"/>
      <w:r>
        <w:lastRenderedPageBreak/>
        <w:t>Appendix 2: Calculation of OOIP based on Audited Net Pay Map</w:t>
      </w:r>
      <w:bookmarkEnd w:id="32"/>
    </w:p>
    <w:p w14:paraId="3F3EE864" w14:textId="6B662116" w:rsidR="00E664C6" w:rsidRDefault="00E664C6" w:rsidP="00E664C6"/>
    <w:tbl>
      <w:tblPr>
        <w:tblW w:w="8140" w:type="dxa"/>
        <w:tblLook w:val="04A0" w:firstRow="1" w:lastRow="0" w:firstColumn="1" w:lastColumn="0" w:noHBand="0" w:noVBand="1"/>
      </w:tblPr>
      <w:tblGrid>
        <w:gridCol w:w="960"/>
        <w:gridCol w:w="960"/>
        <w:gridCol w:w="1100"/>
        <w:gridCol w:w="1050"/>
        <w:gridCol w:w="1050"/>
        <w:gridCol w:w="1036"/>
        <w:gridCol w:w="960"/>
        <w:gridCol w:w="1420"/>
      </w:tblGrid>
      <w:tr w:rsidR="00E664C6" w:rsidRPr="00E664C6" w14:paraId="4A33E5CE" w14:textId="77777777" w:rsidTr="00E664C6">
        <w:trPr>
          <w:trHeight w:val="315"/>
        </w:trPr>
        <w:tc>
          <w:tcPr>
            <w:tcW w:w="9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22FB83F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Block #</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14:paraId="2602041B" w14:textId="77777777" w:rsidR="00E664C6" w:rsidRPr="00E664C6" w:rsidRDefault="00E664C6" w:rsidP="00E664C6">
            <w:pPr>
              <w:spacing w:after="0" w:line="240" w:lineRule="auto"/>
              <w:jc w:val="center"/>
              <w:rPr>
                <w:rFonts w:ascii="Calibri" w:eastAsia="Times New Roman" w:hAnsi="Calibri" w:cs="Calibri"/>
                <w:b/>
                <w:bCs/>
                <w:color w:val="000000"/>
                <w:lang w:eastAsia="en-AU"/>
              </w:rPr>
            </w:pPr>
            <w:r w:rsidRPr="00E664C6">
              <w:rPr>
                <w:rFonts w:ascii="Calibri" w:eastAsia="Times New Roman" w:hAnsi="Calibri" w:cs="Calibri"/>
                <w:b/>
                <w:bCs/>
                <w:color w:val="000000"/>
                <w:lang w:eastAsia="en-AU"/>
              </w:rPr>
              <w:t>Area</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14:paraId="366438D4" w14:textId="77777777" w:rsidR="00E664C6" w:rsidRPr="00E664C6" w:rsidRDefault="00E664C6" w:rsidP="00E664C6">
            <w:pPr>
              <w:spacing w:after="0" w:line="240" w:lineRule="auto"/>
              <w:jc w:val="center"/>
              <w:rPr>
                <w:rFonts w:ascii="Calibri" w:eastAsia="Times New Roman" w:hAnsi="Calibri" w:cs="Calibri"/>
                <w:b/>
                <w:bCs/>
                <w:color w:val="000000"/>
                <w:lang w:eastAsia="en-AU"/>
              </w:rPr>
            </w:pPr>
            <w:r w:rsidRPr="00E664C6">
              <w:rPr>
                <w:rFonts w:ascii="Calibri" w:eastAsia="Times New Roman" w:hAnsi="Calibri" w:cs="Calibri"/>
                <w:b/>
                <w:bCs/>
                <w:color w:val="000000"/>
                <w:lang w:eastAsia="en-AU"/>
              </w:rPr>
              <w:t>Thickness</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14:paraId="3DE4FF9F" w14:textId="77777777" w:rsidR="00E664C6" w:rsidRPr="00E664C6" w:rsidRDefault="00E664C6" w:rsidP="00E664C6">
            <w:pPr>
              <w:spacing w:after="0" w:line="240" w:lineRule="auto"/>
              <w:jc w:val="center"/>
              <w:rPr>
                <w:rFonts w:ascii="Calibri" w:eastAsia="Times New Roman" w:hAnsi="Calibri" w:cs="Calibri"/>
                <w:b/>
                <w:bCs/>
                <w:color w:val="000000"/>
                <w:lang w:eastAsia="en-AU"/>
              </w:rPr>
            </w:pPr>
            <w:r w:rsidRPr="00E664C6">
              <w:rPr>
                <w:rFonts w:ascii="Calibri" w:eastAsia="Times New Roman" w:hAnsi="Calibri" w:cs="Calibri"/>
                <w:b/>
                <w:bCs/>
                <w:color w:val="000000"/>
                <w:lang w:eastAsia="en-AU"/>
              </w:rPr>
              <w:t>Porosity</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14:paraId="152F521A" w14:textId="77777777" w:rsidR="00E664C6" w:rsidRPr="00E664C6" w:rsidRDefault="00E664C6" w:rsidP="00E664C6">
            <w:pPr>
              <w:spacing w:after="0" w:line="240" w:lineRule="auto"/>
              <w:jc w:val="center"/>
              <w:rPr>
                <w:rFonts w:ascii="Calibri" w:eastAsia="Times New Roman" w:hAnsi="Calibri" w:cs="Calibri"/>
                <w:b/>
                <w:bCs/>
                <w:color w:val="000000"/>
                <w:lang w:eastAsia="en-AU"/>
              </w:rPr>
            </w:pPr>
            <w:r w:rsidRPr="00E664C6">
              <w:rPr>
                <w:rFonts w:ascii="Calibri" w:eastAsia="Times New Roman" w:hAnsi="Calibri" w:cs="Calibri"/>
                <w:b/>
                <w:bCs/>
                <w:color w:val="000000"/>
                <w:lang w:eastAsia="en-AU"/>
              </w:rPr>
              <w:t>1-Sw</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14:paraId="536D7308" w14:textId="77777777" w:rsidR="00E664C6" w:rsidRPr="00E664C6" w:rsidRDefault="00E664C6" w:rsidP="00E664C6">
            <w:pPr>
              <w:spacing w:after="0" w:line="240" w:lineRule="auto"/>
              <w:jc w:val="center"/>
              <w:rPr>
                <w:rFonts w:ascii="Calibri" w:eastAsia="Times New Roman" w:hAnsi="Calibri" w:cs="Calibri"/>
                <w:b/>
                <w:bCs/>
                <w:color w:val="000000"/>
                <w:lang w:eastAsia="en-AU"/>
              </w:rPr>
            </w:pPr>
            <w:r w:rsidRPr="00E664C6">
              <w:rPr>
                <w:rFonts w:ascii="Calibri" w:eastAsia="Times New Roman" w:hAnsi="Calibri" w:cs="Calibri"/>
                <w:b/>
                <w:bCs/>
                <w:color w:val="000000"/>
                <w:lang w:eastAsia="en-AU"/>
              </w:rPr>
              <w:t>Constant</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14:paraId="28E2CD9A" w14:textId="77777777" w:rsidR="00E664C6" w:rsidRPr="00E664C6" w:rsidRDefault="00E664C6" w:rsidP="00E664C6">
            <w:pPr>
              <w:spacing w:after="0" w:line="240" w:lineRule="auto"/>
              <w:jc w:val="center"/>
              <w:rPr>
                <w:rFonts w:ascii="Calibri" w:eastAsia="Times New Roman" w:hAnsi="Calibri" w:cs="Calibri"/>
                <w:b/>
                <w:bCs/>
                <w:color w:val="000000"/>
                <w:lang w:eastAsia="en-AU"/>
              </w:rPr>
            </w:pPr>
            <w:r w:rsidRPr="00E664C6">
              <w:rPr>
                <w:rFonts w:ascii="Calibri" w:eastAsia="Times New Roman" w:hAnsi="Calibri" w:cs="Calibri"/>
                <w:b/>
                <w:bCs/>
                <w:color w:val="000000"/>
                <w:lang w:eastAsia="en-AU"/>
              </w:rPr>
              <w:t>FVF</w:t>
            </w:r>
          </w:p>
        </w:tc>
        <w:tc>
          <w:tcPr>
            <w:tcW w:w="1420" w:type="dxa"/>
            <w:tcBorders>
              <w:top w:val="single" w:sz="8" w:space="0" w:color="auto"/>
              <w:left w:val="nil"/>
              <w:bottom w:val="single" w:sz="8" w:space="0" w:color="auto"/>
              <w:right w:val="single" w:sz="8" w:space="0" w:color="auto"/>
            </w:tcBorders>
            <w:shd w:val="clear" w:color="auto" w:fill="auto"/>
            <w:noWrap/>
            <w:vAlign w:val="bottom"/>
            <w:hideMark/>
          </w:tcPr>
          <w:p w14:paraId="1FF662AA" w14:textId="77777777" w:rsidR="00E664C6" w:rsidRPr="00E664C6" w:rsidRDefault="00E664C6" w:rsidP="00E664C6">
            <w:pPr>
              <w:spacing w:after="0" w:line="240" w:lineRule="auto"/>
              <w:jc w:val="center"/>
              <w:rPr>
                <w:rFonts w:ascii="Calibri" w:eastAsia="Times New Roman" w:hAnsi="Calibri" w:cs="Calibri"/>
                <w:b/>
                <w:bCs/>
                <w:color w:val="000000"/>
                <w:lang w:eastAsia="en-AU"/>
              </w:rPr>
            </w:pPr>
            <w:r w:rsidRPr="00E664C6">
              <w:rPr>
                <w:rFonts w:ascii="Calibri" w:eastAsia="Times New Roman" w:hAnsi="Calibri" w:cs="Calibri"/>
                <w:b/>
                <w:bCs/>
                <w:color w:val="000000"/>
                <w:lang w:eastAsia="en-AU"/>
              </w:rPr>
              <w:t>OOIP</w:t>
            </w:r>
          </w:p>
        </w:tc>
      </w:tr>
      <w:tr w:rsidR="00E664C6" w:rsidRPr="00E664C6" w14:paraId="26941EF1" w14:textId="77777777" w:rsidTr="00E664C6">
        <w:trPr>
          <w:trHeight w:val="315"/>
        </w:trPr>
        <w:tc>
          <w:tcPr>
            <w:tcW w:w="960" w:type="dxa"/>
            <w:tcBorders>
              <w:top w:val="nil"/>
              <w:left w:val="single" w:sz="8" w:space="0" w:color="auto"/>
              <w:bottom w:val="nil"/>
              <w:right w:val="single" w:sz="8" w:space="0" w:color="auto"/>
            </w:tcBorders>
            <w:shd w:val="clear" w:color="auto" w:fill="auto"/>
            <w:noWrap/>
            <w:vAlign w:val="bottom"/>
            <w:hideMark/>
          </w:tcPr>
          <w:p w14:paraId="4403E5B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 </w:t>
            </w:r>
          </w:p>
        </w:tc>
        <w:tc>
          <w:tcPr>
            <w:tcW w:w="960" w:type="dxa"/>
            <w:tcBorders>
              <w:top w:val="nil"/>
              <w:left w:val="nil"/>
              <w:bottom w:val="single" w:sz="8" w:space="0" w:color="auto"/>
              <w:right w:val="single" w:sz="4" w:space="0" w:color="auto"/>
            </w:tcBorders>
            <w:shd w:val="clear" w:color="auto" w:fill="auto"/>
            <w:noWrap/>
            <w:vAlign w:val="bottom"/>
            <w:hideMark/>
          </w:tcPr>
          <w:p w14:paraId="64900A5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(acres)</w:t>
            </w:r>
          </w:p>
        </w:tc>
        <w:tc>
          <w:tcPr>
            <w:tcW w:w="960" w:type="dxa"/>
            <w:tcBorders>
              <w:top w:val="nil"/>
              <w:left w:val="nil"/>
              <w:bottom w:val="single" w:sz="8" w:space="0" w:color="auto"/>
              <w:right w:val="single" w:sz="4" w:space="0" w:color="auto"/>
            </w:tcBorders>
            <w:shd w:val="clear" w:color="auto" w:fill="auto"/>
            <w:noWrap/>
            <w:vAlign w:val="bottom"/>
            <w:hideMark/>
          </w:tcPr>
          <w:p w14:paraId="04EAD28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(ft)</w:t>
            </w:r>
          </w:p>
        </w:tc>
        <w:tc>
          <w:tcPr>
            <w:tcW w:w="960" w:type="dxa"/>
            <w:tcBorders>
              <w:top w:val="nil"/>
              <w:left w:val="nil"/>
              <w:bottom w:val="single" w:sz="8" w:space="0" w:color="auto"/>
              <w:right w:val="single" w:sz="4" w:space="0" w:color="auto"/>
            </w:tcBorders>
            <w:shd w:val="clear" w:color="auto" w:fill="auto"/>
            <w:noWrap/>
            <w:vAlign w:val="bottom"/>
            <w:hideMark/>
          </w:tcPr>
          <w:p w14:paraId="3F9A593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(decimal)</w:t>
            </w:r>
          </w:p>
        </w:tc>
        <w:tc>
          <w:tcPr>
            <w:tcW w:w="960" w:type="dxa"/>
            <w:tcBorders>
              <w:top w:val="nil"/>
              <w:left w:val="nil"/>
              <w:bottom w:val="single" w:sz="8" w:space="0" w:color="auto"/>
              <w:right w:val="single" w:sz="4" w:space="0" w:color="auto"/>
            </w:tcBorders>
            <w:shd w:val="clear" w:color="auto" w:fill="auto"/>
            <w:noWrap/>
            <w:vAlign w:val="bottom"/>
            <w:hideMark/>
          </w:tcPr>
          <w:p w14:paraId="1F5E196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(decimal)</w:t>
            </w:r>
          </w:p>
        </w:tc>
        <w:tc>
          <w:tcPr>
            <w:tcW w:w="960" w:type="dxa"/>
            <w:tcBorders>
              <w:top w:val="nil"/>
              <w:left w:val="nil"/>
              <w:bottom w:val="single" w:sz="8" w:space="0" w:color="auto"/>
              <w:right w:val="single" w:sz="4" w:space="0" w:color="auto"/>
            </w:tcBorders>
            <w:shd w:val="clear" w:color="auto" w:fill="auto"/>
            <w:noWrap/>
            <w:vAlign w:val="bottom"/>
            <w:hideMark/>
          </w:tcPr>
          <w:p w14:paraId="78007C1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nil"/>
              <w:bottom w:val="single" w:sz="8" w:space="0" w:color="auto"/>
              <w:right w:val="single" w:sz="4" w:space="0" w:color="auto"/>
            </w:tcBorders>
            <w:shd w:val="clear" w:color="auto" w:fill="auto"/>
            <w:noWrap/>
            <w:vAlign w:val="bottom"/>
            <w:hideMark/>
          </w:tcPr>
          <w:p w14:paraId="45A6A1F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 </w:t>
            </w:r>
          </w:p>
        </w:tc>
        <w:tc>
          <w:tcPr>
            <w:tcW w:w="1420" w:type="dxa"/>
            <w:tcBorders>
              <w:top w:val="nil"/>
              <w:left w:val="nil"/>
              <w:bottom w:val="single" w:sz="8" w:space="0" w:color="auto"/>
              <w:right w:val="single" w:sz="8" w:space="0" w:color="auto"/>
            </w:tcBorders>
            <w:shd w:val="clear" w:color="auto" w:fill="auto"/>
            <w:noWrap/>
            <w:vAlign w:val="bottom"/>
            <w:hideMark/>
          </w:tcPr>
          <w:p w14:paraId="249FEEA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(barrels)</w:t>
            </w:r>
          </w:p>
        </w:tc>
      </w:tr>
      <w:tr w:rsidR="00E664C6" w:rsidRPr="00E664C6" w14:paraId="3C3C5DE0" w14:textId="77777777" w:rsidTr="00E664C6">
        <w:trPr>
          <w:trHeight w:val="315"/>
        </w:trPr>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1B73D0F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960" w:type="dxa"/>
            <w:tcBorders>
              <w:top w:val="nil"/>
              <w:left w:val="nil"/>
              <w:bottom w:val="single" w:sz="4" w:space="0" w:color="auto"/>
              <w:right w:val="single" w:sz="4" w:space="0" w:color="auto"/>
            </w:tcBorders>
            <w:shd w:val="clear" w:color="auto" w:fill="auto"/>
            <w:noWrap/>
            <w:vAlign w:val="bottom"/>
            <w:hideMark/>
          </w:tcPr>
          <w:p w14:paraId="4523EC7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1.35</w:t>
            </w:r>
          </w:p>
        </w:tc>
        <w:tc>
          <w:tcPr>
            <w:tcW w:w="960" w:type="dxa"/>
            <w:tcBorders>
              <w:top w:val="nil"/>
              <w:left w:val="nil"/>
              <w:bottom w:val="single" w:sz="4" w:space="0" w:color="auto"/>
              <w:right w:val="single" w:sz="4" w:space="0" w:color="auto"/>
            </w:tcBorders>
            <w:shd w:val="clear" w:color="auto" w:fill="auto"/>
            <w:noWrap/>
            <w:vAlign w:val="bottom"/>
            <w:hideMark/>
          </w:tcPr>
          <w:p w14:paraId="0E338A8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100</w:t>
            </w:r>
          </w:p>
        </w:tc>
        <w:tc>
          <w:tcPr>
            <w:tcW w:w="960" w:type="dxa"/>
            <w:tcBorders>
              <w:top w:val="nil"/>
              <w:left w:val="nil"/>
              <w:bottom w:val="single" w:sz="4" w:space="0" w:color="auto"/>
              <w:right w:val="single" w:sz="4" w:space="0" w:color="auto"/>
            </w:tcBorders>
            <w:shd w:val="clear" w:color="auto" w:fill="auto"/>
            <w:noWrap/>
            <w:vAlign w:val="bottom"/>
            <w:hideMark/>
          </w:tcPr>
          <w:p w14:paraId="6A56ACE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A33A21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single" w:sz="4" w:space="0" w:color="auto"/>
            </w:tcBorders>
            <w:shd w:val="clear" w:color="000000" w:fill="D9D9D9"/>
            <w:noWrap/>
            <w:vAlign w:val="bottom"/>
            <w:hideMark/>
          </w:tcPr>
          <w:p w14:paraId="49DDF81D" w14:textId="77777777" w:rsidR="00E664C6" w:rsidRPr="00E664C6" w:rsidRDefault="00E664C6" w:rsidP="00E664C6">
            <w:pPr>
              <w:spacing w:after="0" w:line="240" w:lineRule="auto"/>
              <w:jc w:val="center"/>
              <w:rPr>
                <w:rFonts w:ascii="Arial" w:eastAsia="Times New Roman" w:hAnsi="Arial" w:cs="Arial"/>
                <w:sz w:val="20"/>
                <w:szCs w:val="20"/>
                <w:lang w:eastAsia="en-AU"/>
              </w:rPr>
            </w:pPr>
            <w:r w:rsidRPr="00E664C6">
              <w:rPr>
                <w:rFonts w:ascii="Arial" w:eastAsia="Times New Roman" w:hAnsi="Arial" w:cs="Arial"/>
                <w:sz w:val="20"/>
                <w:szCs w:val="20"/>
                <w:lang w:eastAsia="en-AU"/>
              </w:rPr>
              <w:t>7758</w:t>
            </w:r>
          </w:p>
        </w:tc>
        <w:tc>
          <w:tcPr>
            <w:tcW w:w="960" w:type="dxa"/>
            <w:tcBorders>
              <w:top w:val="nil"/>
              <w:left w:val="nil"/>
              <w:bottom w:val="single" w:sz="4" w:space="0" w:color="auto"/>
              <w:right w:val="single" w:sz="4" w:space="0" w:color="auto"/>
            </w:tcBorders>
            <w:shd w:val="clear" w:color="auto" w:fill="auto"/>
            <w:noWrap/>
            <w:vAlign w:val="bottom"/>
            <w:hideMark/>
          </w:tcPr>
          <w:p w14:paraId="63844D5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nil"/>
              <w:right w:val="single" w:sz="8" w:space="0" w:color="auto"/>
            </w:tcBorders>
            <w:shd w:val="clear" w:color="000000" w:fill="FFFF00"/>
            <w:noWrap/>
            <w:vAlign w:val="bottom"/>
            <w:hideMark/>
          </w:tcPr>
          <w:p w14:paraId="6599115F"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267,069 </w:t>
            </w:r>
          </w:p>
        </w:tc>
      </w:tr>
      <w:tr w:rsidR="00E664C6" w:rsidRPr="00E664C6" w14:paraId="62EF07F1"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2EA379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w:t>
            </w:r>
          </w:p>
        </w:tc>
        <w:tc>
          <w:tcPr>
            <w:tcW w:w="960" w:type="dxa"/>
            <w:tcBorders>
              <w:top w:val="nil"/>
              <w:left w:val="nil"/>
              <w:bottom w:val="single" w:sz="4" w:space="0" w:color="auto"/>
              <w:right w:val="single" w:sz="4" w:space="0" w:color="auto"/>
            </w:tcBorders>
            <w:shd w:val="clear" w:color="auto" w:fill="auto"/>
            <w:noWrap/>
            <w:vAlign w:val="bottom"/>
            <w:hideMark/>
          </w:tcPr>
          <w:p w14:paraId="1E634DD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62ADC43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100</w:t>
            </w:r>
          </w:p>
        </w:tc>
        <w:tc>
          <w:tcPr>
            <w:tcW w:w="960" w:type="dxa"/>
            <w:tcBorders>
              <w:top w:val="nil"/>
              <w:left w:val="nil"/>
              <w:bottom w:val="single" w:sz="4" w:space="0" w:color="auto"/>
              <w:right w:val="single" w:sz="4" w:space="0" w:color="auto"/>
            </w:tcBorders>
            <w:shd w:val="clear" w:color="auto" w:fill="auto"/>
            <w:noWrap/>
            <w:vAlign w:val="bottom"/>
            <w:hideMark/>
          </w:tcPr>
          <w:p w14:paraId="3F4D31A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F77561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02EC2E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CF86FF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single" w:sz="4" w:space="0" w:color="auto"/>
              <w:left w:val="nil"/>
              <w:bottom w:val="nil"/>
              <w:right w:val="single" w:sz="8" w:space="0" w:color="auto"/>
            </w:tcBorders>
            <w:shd w:val="clear" w:color="000000" w:fill="FFFF00"/>
            <w:noWrap/>
            <w:vAlign w:val="bottom"/>
            <w:hideMark/>
          </w:tcPr>
          <w:p w14:paraId="71EB1770"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494,573 </w:t>
            </w:r>
          </w:p>
        </w:tc>
      </w:tr>
      <w:tr w:rsidR="00E664C6" w:rsidRPr="00E664C6" w14:paraId="0203ED0F"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071083E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3</w:t>
            </w:r>
          </w:p>
        </w:tc>
        <w:tc>
          <w:tcPr>
            <w:tcW w:w="960" w:type="dxa"/>
            <w:tcBorders>
              <w:top w:val="nil"/>
              <w:left w:val="nil"/>
              <w:bottom w:val="single" w:sz="4" w:space="0" w:color="auto"/>
              <w:right w:val="single" w:sz="4" w:space="0" w:color="auto"/>
            </w:tcBorders>
            <w:shd w:val="clear" w:color="auto" w:fill="auto"/>
            <w:noWrap/>
            <w:vAlign w:val="bottom"/>
            <w:hideMark/>
          </w:tcPr>
          <w:p w14:paraId="1FA0856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6C2B073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100</w:t>
            </w:r>
          </w:p>
        </w:tc>
        <w:tc>
          <w:tcPr>
            <w:tcW w:w="960" w:type="dxa"/>
            <w:tcBorders>
              <w:top w:val="nil"/>
              <w:left w:val="nil"/>
              <w:bottom w:val="single" w:sz="4" w:space="0" w:color="auto"/>
              <w:right w:val="single" w:sz="4" w:space="0" w:color="auto"/>
            </w:tcBorders>
            <w:shd w:val="clear" w:color="auto" w:fill="auto"/>
            <w:noWrap/>
            <w:vAlign w:val="bottom"/>
            <w:hideMark/>
          </w:tcPr>
          <w:p w14:paraId="49C02B9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C55D1B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335B55B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F4074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single" w:sz="4" w:space="0" w:color="auto"/>
              <w:left w:val="nil"/>
              <w:bottom w:val="single" w:sz="4" w:space="0" w:color="auto"/>
              <w:right w:val="single" w:sz="8" w:space="0" w:color="auto"/>
            </w:tcBorders>
            <w:shd w:val="clear" w:color="000000" w:fill="FFFF00"/>
            <w:noWrap/>
            <w:vAlign w:val="bottom"/>
            <w:hideMark/>
          </w:tcPr>
          <w:p w14:paraId="19C6FDD1"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494,573 </w:t>
            </w:r>
          </w:p>
        </w:tc>
      </w:tr>
      <w:tr w:rsidR="00E664C6" w:rsidRPr="00E664C6" w14:paraId="455EA0A0"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6BA9F96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4</w:t>
            </w:r>
          </w:p>
        </w:tc>
        <w:tc>
          <w:tcPr>
            <w:tcW w:w="960" w:type="dxa"/>
            <w:tcBorders>
              <w:top w:val="nil"/>
              <w:left w:val="nil"/>
              <w:bottom w:val="single" w:sz="4" w:space="0" w:color="auto"/>
              <w:right w:val="single" w:sz="4" w:space="0" w:color="auto"/>
            </w:tcBorders>
            <w:shd w:val="clear" w:color="auto" w:fill="auto"/>
            <w:noWrap/>
            <w:vAlign w:val="bottom"/>
            <w:hideMark/>
          </w:tcPr>
          <w:p w14:paraId="72D254B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0A08CEF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90</w:t>
            </w:r>
          </w:p>
        </w:tc>
        <w:tc>
          <w:tcPr>
            <w:tcW w:w="960" w:type="dxa"/>
            <w:tcBorders>
              <w:top w:val="nil"/>
              <w:left w:val="nil"/>
              <w:bottom w:val="single" w:sz="4" w:space="0" w:color="auto"/>
              <w:right w:val="single" w:sz="4" w:space="0" w:color="auto"/>
            </w:tcBorders>
            <w:shd w:val="clear" w:color="auto" w:fill="auto"/>
            <w:noWrap/>
            <w:vAlign w:val="bottom"/>
            <w:hideMark/>
          </w:tcPr>
          <w:p w14:paraId="0EF8B58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658765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3AC115A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C68F2C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0137665D"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445,115 </w:t>
            </w:r>
          </w:p>
        </w:tc>
      </w:tr>
      <w:tr w:rsidR="00E664C6" w:rsidRPr="00E664C6" w14:paraId="057EB217"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A4505B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5</w:t>
            </w:r>
          </w:p>
        </w:tc>
        <w:tc>
          <w:tcPr>
            <w:tcW w:w="960" w:type="dxa"/>
            <w:tcBorders>
              <w:top w:val="nil"/>
              <w:left w:val="nil"/>
              <w:bottom w:val="single" w:sz="4" w:space="0" w:color="auto"/>
              <w:right w:val="single" w:sz="4" w:space="0" w:color="auto"/>
            </w:tcBorders>
            <w:shd w:val="clear" w:color="auto" w:fill="auto"/>
            <w:noWrap/>
            <w:vAlign w:val="bottom"/>
            <w:hideMark/>
          </w:tcPr>
          <w:p w14:paraId="24F9693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1.875</w:t>
            </w:r>
          </w:p>
        </w:tc>
        <w:tc>
          <w:tcPr>
            <w:tcW w:w="960" w:type="dxa"/>
            <w:tcBorders>
              <w:top w:val="nil"/>
              <w:left w:val="nil"/>
              <w:bottom w:val="single" w:sz="4" w:space="0" w:color="auto"/>
              <w:right w:val="single" w:sz="4" w:space="0" w:color="auto"/>
            </w:tcBorders>
            <w:shd w:val="clear" w:color="auto" w:fill="auto"/>
            <w:noWrap/>
            <w:vAlign w:val="bottom"/>
            <w:hideMark/>
          </w:tcPr>
          <w:p w14:paraId="0F46491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166F80C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4EAB2DD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809DCF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D6E6CA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204B5814"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278,197 </w:t>
            </w:r>
          </w:p>
        </w:tc>
      </w:tr>
      <w:tr w:rsidR="00E664C6" w:rsidRPr="00E664C6" w14:paraId="7E39B9BD"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6882C00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w:t>
            </w:r>
          </w:p>
        </w:tc>
        <w:tc>
          <w:tcPr>
            <w:tcW w:w="960" w:type="dxa"/>
            <w:tcBorders>
              <w:top w:val="nil"/>
              <w:left w:val="nil"/>
              <w:bottom w:val="single" w:sz="4" w:space="0" w:color="auto"/>
              <w:right w:val="single" w:sz="4" w:space="0" w:color="auto"/>
            </w:tcBorders>
            <w:shd w:val="clear" w:color="auto" w:fill="auto"/>
            <w:noWrap/>
            <w:vAlign w:val="bottom"/>
            <w:hideMark/>
          </w:tcPr>
          <w:p w14:paraId="7B0D6B5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0.6</w:t>
            </w:r>
          </w:p>
        </w:tc>
        <w:tc>
          <w:tcPr>
            <w:tcW w:w="960" w:type="dxa"/>
            <w:tcBorders>
              <w:top w:val="nil"/>
              <w:left w:val="nil"/>
              <w:bottom w:val="single" w:sz="4" w:space="0" w:color="auto"/>
              <w:right w:val="single" w:sz="4" w:space="0" w:color="auto"/>
            </w:tcBorders>
            <w:shd w:val="clear" w:color="auto" w:fill="auto"/>
            <w:noWrap/>
            <w:vAlign w:val="bottom"/>
            <w:hideMark/>
          </w:tcPr>
          <w:p w14:paraId="4CDBB52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60</w:t>
            </w:r>
          </w:p>
        </w:tc>
        <w:tc>
          <w:tcPr>
            <w:tcW w:w="960" w:type="dxa"/>
            <w:tcBorders>
              <w:top w:val="nil"/>
              <w:left w:val="nil"/>
              <w:bottom w:val="single" w:sz="4" w:space="0" w:color="auto"/>
              <w:right w:val="single" w:sz="4" w:space="0" w:color="auto"/>
            </w:tcBorders>
            <w:shd w:val="clear" w:color="auto" w:fill="auto"/>
            <w:noWrap/>
            <w:vAlign w:val="bottom"/>
            <w:hideMark/>
          </w:tcPr>
          <w:p w14:paraId="23C2982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B52EB7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372077B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9DA3E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01A6FCB7"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71,218 </w:t>
            </w:r>
          </w:p>
        </w:tc>
      </w:tr>
      <w:tr w:rsidR="00E664C6" w:rsidRPr="00E664C6" w14:paraId="6DFDE882"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07978FE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w:t>
            </w:r>
          </w:p>
        </w:tc>
        <w:tc>
          <w:tcPr>
            <w:tcW w:w="960" w:type="dxa"/>
            <w:tcBorders>
              <w:top w:val="nil"/>
              <w:left w:val="nil"/>
              <w:bottom w:val="single" w:sz="4" w:space="0" w:color="auto"/>
              <w:right w:val="single" w:sz="4" w:space="0" w:color="auto"/>
            </w:tcBorders>
            <w:shd w:val="clear" w:color="auto" w:fill="auto"/>
            <w:noWrap/>
            <w:vAlign w:val="bottom"/>
            <w:hideMark/>
          </w:tcPr>
          <w:p w14:paraId="5C7798A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single" w:sz="4" w:space="0" w:color="auto"/>
            </w:tcBorders>
            <w:shd w:val="clear" w:color="auto" w:fill="auto"/>
            <w:noWrap/>
            <w:vAlign w:val="bottom"/>
            <w:hideMark/>
          </w:tcPr>
          <w:p w14:paraId="732850C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80</w:t>
            </w:r>
          </w:p>
        </w:tc>
        <w:tc>
          <w:tcPr>
            <w:tcW w:w="960" w:type="dxa"/>
            <w:tcBorders>
              <w:top w:val="nil"/>
              <w:left w:val="nil"/>
              <w:bottom w:val="single" w:sz="4" w:space="0" w:color="auto"/>
              <w:right w:val="single" w:sz="4" w:space="0" w:color="auto"/>
            </w:tcBorders>
            <w:shd w:val="clear" w:color="auto" w:fill="auto"/>
            <w:noWrap/>
            <w:vAlign w:val="bottom"/>
            <w:hideMark/>
          </w:tcPr>
          <w:p w14:paraId="6CAFC3C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DF668E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1236E5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74DB6B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B671E2F"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118,697 </w:t>
            </w:r>
          </w:p>
        </w:tc>
      </w:tr>
      <w:tr w:rsidR="00E664C6" w:rsidRPr="00E664C6" w14:paraId="6EEE8FD0"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40CDB1B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w:t>
            </w:r>
          </w:p>
        </w:tc>
        <w:tc>
          <w:tcPr>
            <w:tcW w:w="960" w:type="dxa"/>
            <w:tcBorders>
              <w:top w:val="nil"/>
              <w:left w:val="nil"/>
              <w:bottom w:val="single" w:sz="4" w:space="0" w:color="auto"/>
              <w:right w:val="single" w:sz="4" w:space="0" w:color="auto"/>
            </w:tcBorders>
            <w:shd w:val="clear" w:color="auto" w:fill="auto"/>
            <w:noWrap/>
            <w:vAlign w:val="bottom"/>
            <w:hideMark/>
          </w:tcPr>
          <w:p w14:paraId="2E28C33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6CD675E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165</w:t>
            </w:r>
          </w:p>
        </w:tc>
        <w:tc>
          <w:tcPr>
            <w:tcW w:w="960" w:type="dxa"/>
            <w:tcBorders>
              <w:top w:val="nil"/>
              <w:left w:val="nil"/>
              <w:bottom w:val="single" w:sz="4" w:space="0" w:color="auto"/>
              <w:right w:val="single" w:sz="4" w:space="0" w:color="auto"/>
            </w:tcBorders>
            <w:shd w:val="clear" w:color="auto" w:fill="auto"/>
            <w:noWrap/>
            <w:vAlign w:val="bottom"/>
            <w:hideMark/>
          </w:tcPr>
          <w:p w14:paraId="7A7676C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DB7E2B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0280B33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E68E63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95437D4"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816,045 </w:t>
            </w:r>
          </w:p>
        </w:tc>
      </w:tr>
      <w:tr w:rsidR="00E664C6" w:rsidRPr="00E664C6" w14:paraId="1361FAB8"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110098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w:t>
            </w:r>
          </w:p>
        </w:tc>
        <w:tc>
          <w:tcPr>
            <w:tcW w:w="960" w:type="dxa"/>
            <w:tcBorders>
              <w:top w:val="nil"/>
              <w:left w:val="nil"/>
              <w:bottom w:val="single" w:sz="4" w:space="0" w:color="auto"/>
              <w:right w:val="single" w:sz="4" w:space="0" w:color="auto"/>
            </w:tcBorders>
            <w:shd w:val="clear" w:color="auto" w:fill="auto"/>
            <w:noWrap/>
            <w:vAlign w:val="bottom"/>
            <w:hideMark/>
          </w:tcPr>
          <w:p w14:paraId="6F4B9B7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429859B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185</w:t>
            </w:r>
          </w:p>
        </w:tc>
        <w:tc>
          <w:tcPr>
            <w:tcW w:w="960" w:type="dxa"/>
            <w:tcBorders>
              <w:top w:val="nil"/>
              <w:left w:val="nil"/>
              <w:bottom w:val="single" w:sz="4" w:space="0" w:color="auto"/>
              <w:right w:val="single" w:sz="4" w:space="0" w:color="auto"/>
            </w:tcBorders>
            <w:shd w:val="clear" w:color="auto" w:fill="auto"/>
            <w:noWrap/>
            <w:vAlign w:val="bottom"/>
            <w:hideMark/>
          </w:tcPr>
          <w:p w14:paraId="69B64C3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195F30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0993DB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E17E1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2AEB4FC"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914,959 </w:t>
            </w:r>
          </w:p>
        </w:tc>
      </w:tr>
      <w:tr w:rsidR="00E664C6" w:rsidRPr="00E664C6" w14:paraId="10246272"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0DC302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w:t>
            </w:r>
          </w:p>
        </w:tc>
        <w:tc>
          <w:tcPr>
            <w:tcW w:w="960" w:type="dxa"/>
            <w:tcBorders>
              <w:top w:val="nil"/>
              <w:left w:val="nil"/>
              <w:bottom w:val="single" w:sz="4" w:space="0" w:color="auto"/>
              <w:right w:val="single" w:sz="4" w:space="0" w:color="auto"/>
            </w:tcBorders>
            <w:shd w:val="clear" w:color="auto" w:fill="auto"/>
            <w:noWrap/>
            <w:vAlign w:val="bottom"/>
            <w:hideMark/>
          </w:tcPr>
          <w:p w14:paraId="0A2FEA5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6B3DB87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190</w:t>
            </w:r>
          </w:p>
        </w:tc>
        <w:tc>
          <w:tcPr>
            <w:tcW w:w="960" w:type="dxa"/>
            <w:tcBorders>
              <w:top w:val="nil"/>
              <w:left w:val="nil"/>
              <w:bottom w:val="single" w:sz="4" w:space="0" w:color="auto"/>
              <w:right w:val="single" w:sz="4" w:space="0" w:color="auto"/>
            </w:tcBorders>
            <w:shd w:val="clear" w:color="auto" w:fill="auto"/>
            <w:noWrap/>
            <w:vAlign w:val="bottom"/>
            <w:hideMark/>
          </w:tcPr>
          <w:p w14:paraId="39DB65A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30D8AF2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03C38CE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0018D2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690E815"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939,688 </w:t>
            </w:r>
          </w:p>
        </w:tc>
      </w:tr>
      <w:tr w:rsidR="00E664C6" w:rsidRPr="00E664C6" w14:paraId="06A61605"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EE1779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w:t>
            </w:r>
          </w:p>
        </w:tc>
        <w:tc>
          <w:tcPr>
            <w:tcW w:w="960" w:type="dxa"/>
            <w:tcBorders>
              <w:top w:val="nil"/>
              <w:left w:val="nil"/>
              <w:bottom w:val="single" w:sz="4" w:space="0" w:color="auto"/>
              <w:right w:val="single" w:sz="4" w:space="0" w:color="auto"/>
            </w:tcBorders>
            <w:shd w:val="clear" w:color="auto" w:fill="auto"/>
            <w:noWrap/>
            <w:vAlign w:val="bottom"/>
            <w:hideMark/>
          </w:tcPr>
          <w:p w14:paraId="0AB4F2C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5AD3AFB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175</w:t>
            </w:r>
          </w:p>
        </w:tc>
        <w:tc>
          <w:tcPr>
            <w:tcW w:w="960" w:type="dxa"/>
            <w:tcBorders>
              <w:top w:val="nil"/>
              <w:left w:val="nil"/>
              <w:bottom w:val="single" w:sz="4" w:space="0" w:color="auto"/>
              <w:right w:val="single" w:sz="4" w:space="0" w:color="auto"/>
            </w:tcBorders>
            <w:shd w:val="clear" w:color="auto" w:fill="auto"/>
            <w:noWrap/>
            <w:vAlign w:val="bottom"/>
            <w:hideMark/>
          </w:tcPr>
          <w:p w14:paraId="0608C20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907F8A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1DC144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3021B2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12D814E3"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865,502 </w:t>
            </w:r>
          </w:p>
        </w:tc>
      </w:tr>
      <w:tr w:rsidR="00E664C6" w:rsidRPr="00E664C6" w14:paraId="2AA666CC"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CA7713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w:t>
            </w:r>
          </w:p>
        </w:tc>
        <w:tc>
          <w:tcPr>
            <w:tcW w:w="960" w:type="dxa"/>
            <w:tcBorders>
              <w:top w:val="nil"/>
              <w:left w:val="nil"/>
              <w:bottom w:val="single" w:sz="4" w:space="0" w:color="auto"/>
              <w:right w:val="single" w:sz="4" w:space="0" w:color="auto"/>
            </w:tcBorders>
            <w:shd w:val="clear" w:color="auto" w:fill="auto"/>
            <w:noWrap/>
            <w:vAlign w:val="bottom"/>
            <w:hideMark/>
          </w:tcPr>
          <w:p w14:paraId="2EAF3C0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139F75D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85</w:t>
            </w:r>
          </w:p>
        </w:tc>
        <w:tc>
          <w:tcPr>
            <w:tcW w:w="960" w:type="dxa"/>
            <w:tcBorders>
              <w:top w:val="nil"/>
              <w:left w:val="nil"/>
              <w:bottom w:val="single" w:sz="4" w:space="0" w:color="auto"/>
              <w:right w:val="single" w:sz="4" w:space="0" w:color="auto"/>
            </w:tcBorders>
            <w:shd w:val="clear" w:color="auto" w:fill="auto"/>
            <w:noWrap/>
            <w:vAlign w:val="bottom"/>
            <w:hideMark/>
          </w:tcPr>
          <w:p w14:paraId="6779B9D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43DC228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F26A88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91C486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0D12F0A3"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420,387 </w:t>
            </w:r>
          </w:p>
        </w:tc>
      </w:tr>
      <w:tr w:rsidR="00E664C6" w:rsidRPr="00E664C6" w14:paraId="78E07358"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4CC261D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w:t>
            </w:r>
          </w:p>
        </w:tc>
        <w:tc>
          <w:tcPr>
            <w:tcW w:w="960" w:type="dxa"/>
            <w:tcBorders>
              <w:top w:val="nil"/>
              <w:left w:val="nil"/>
              <w:bottom w:val="single" w:sz="4" w:space="0" w:color="auto"/>
              <w:right w:val="single" w:sz="4" w:space="0" w:color="auto"/>
            </w:tcBorders>
            <w:shd w:val="clear" w:color="auto" w:fill="auto"/>
            <w:noWrap/>
            <w:vAlign w:val="bottom"/>
            <w:hideMark/>
          </w:tcPr>
          <w:p w14:paraId="582F9A9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2.19</w:t>
            </w:r>
          </w:p>
        </w:tc>
        <w:tc>
          <w:tcPr>
            <w:tcW w:w="960" w:type="dxa"/>
            <w:tcBorders>
              <w:top w:val="nil"/>
              <w:left w:val="nil"/>
              <w:bottom w:val="single" w:sz="4" w:space="0" w:color="auto"/>
              <w:right w:val="single" w:sz="4" w:space="0" w:color="auto"/>
            </w:tcBorders>
            <w:shd w:val="clear" w:color="auto" w:fill="auto"/>
            <w:noWrap/>
            <w:vAlign w:val="bottom"/>
            <w:hideMark/>
          </w:tcPr>
          <w:p w14:paraId="354A82E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70</w:t>
            </w:r>
          </w:p>
        </w:tc>
        <w:tc>
          <w:tcPr>
            <w:tcW w:w="960" w:type="dxa"/>
            <w:tcBorders>
              <w:top w:val="nil"/>
              <w:left w:val="nil"/>
              <w:bottom w:val="single" w:sz="4" w:space="0" w:color="auto"/>
              <w:right w:val="single" w:sz="4" w:space="0" w:color="auto"/>
            </w:tcBorders>
            <w:shd w:val="clear" w:color="auto" w:fill="auto"/>
            <w:noWrap/>
            <w:vAlign w:val="bottom"/>
            <w:hideMark/>
          </w:tcPr>
          <w:p w14:paraId="068B940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33BBBE4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47F271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0BAF3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244EAA1A"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303,272 </w:t>
            </w:r>
          </w:p>
        </w:tc>
      </w:tr>
      <w:tr w:rsidR="00E664C6" w:rsidRPr="00E664C6" w14:paraId="26F7A6C9"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5B5F73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14</w:t>
            </w:r>
          </w:p>
        </w:tc>
        <w:tc>
          <w:tcPr>
            <w:tcW w:w="960" w:type="dxa"/>
            <w:tcBorders>
              <w:top w:val="nil"/>
              <w:left w:val="nil"/>
              <w:bottom w:val="single" w:sz="4" w:space="0" w:color="auto"/>
              <w:right w:val="single" w:sz="4" w:space="0" w:color="auto"/>
            </w:tcBorders>
            <w:shd w:val="clear" w:color="auto" w:fill="auto"/>
            <w:noWrap/>
            <w:vAlign w:val="bottom"/>
            <w:hideMark/>
          </w:tcPr>
          <w:p w14:paraId="40DB048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2D49845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80</w:t>
            </w:r>
          </w:p>
        </w:tc>
        <w:tc>
          <w:tcPr>
            <w:tcW w:w="960" w:type="dxa"/>
            <w:tcBorders>
              <w:top w:val="nil"/>
              <w:left w:val="nil"/>
              <w:bottom w:val="single" w:sz="4" w:space="0" w:color="auto"/>
              <w:right w:val="single" w:sz="4" w:space="0" w:color="auto"/>
            </w:tcBorders>
            <w:shd w:val="clear" w:color="auto" w:fill="auto"/>
            <w:noWrap/>
            <w:vAlign w:val="bottom"/>
            <w:hideMark/>
          </w:tcPr>
          <w:p w14:paraId="7865BFA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276A4F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CA45BA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85CABC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63694CE"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197,829 </w:t>
            </w:r>
          </w:p>
        </w:tc>
      </w:tr>
      <w:tr w:rsidR="00E664C6" w:rsidRPr="00E664C6" w14:paraId="675164DD"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05C641E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15</w:t>
            </w:r>
          </w:p>
        </w:tc>
        <w:tc>
          <w:tcPr>
            <w:tcW w:w="960" w:type="dxa"/>
            <w:tcBorders>
              <w:top w:val="nil"/>
              <w:left w:val="nil"/>
              <w:bottom w:val="single" w:sz="4" w:space="0" w:color="auto"/>
              <w:right w:val="single" w:sz="4" w:space="0" w:color="auto"/>
            </w:tcBorders>
            <w:shd w:val="clear" w:color="auto" w:fill="auto"/>
            <w:noWrap/>
            <w:vAlign w:val="bottom"/>
            <w:hideMark/>
          </w:tcPr>
          <w:p w14:paraId="21DB802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7CCF4ED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165</w:t>
            </w:r>
          </w:p>
        </w:tc>
        <w:tc>
          <w:tcPr>
            <w:tcW w:w="960" w:type="dxa"/>
            <w:tcBorders>
              <w:top w:val="nil"/>
              <w:left w:val="nil"/>
              <w:bottom w:val="single" w:sz="4" w:space="0" w:color="auto"/>
              <w:right w:val="single" w:sz="4" w:space="0" w:color="auto"/>
            </w:tcBorders>
            <w:shd w:val="clear" w:color="auto" w:fill="auto"/>
            <w:noWrap/>
            <w:vAlign w:val="bottom"/>
            <w:hideMark/>
          </w:tcPr>
          <w:p w14:paraId="380FD08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1BF261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2D259E9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741FD5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99FECEF"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816,045 </w:t>
            </w:r>
          </w:p>
        </w:tc>
      </w:tr>
      <w:tr w:rsidR="00E664C6" w:rsidRPr="00E664C6" w14:paraId="4A4BA42A"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8975C8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16</w:t>
            </w:r>
          </w:p>
        </w:tc>
        <w:tc>
          <w:tcPr>
            <w:tcW w:w="960" w:type="dxa"/>
            <w:tcBorders>
              <w:top w:val="nil"/>
              <w:left w:val="nil"/>
              <w:bottom w:val="single" w:sz="4" w:space="0" w:color="auto"/>
              <w:right w:val="single" w:sz="4" w:space="0" w:color="auto"/>
            </w:tcBorders>
            <w:shd w:val="clear" w:color="auto" w:fill="auto"/>
            <w:noWrap/>
            <w:vAlign w:val="bottom"/>
            <w:hideMark/>
          </w:tcPr>
          <w:p w14:paraId="21C5BCF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39EF880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225</w:t>
            </w:r>
          </w:p>
        </w:tc>
        <w:tc>
          <w:tcPr>
            <w:tcW w:w="960" w:type="dxa"/>
            <w:tcBorders>
              <w:top w:val="nil"/>
              <w:left w:val="nil"/>
              <w:bottom w:val="single" w:sz="4" w:space="0" w:color="auto"/>
              <w:right w:val="single" w:sz="4" w:space="0" w:color="auto"/>
            </w:tcBorders>
            <w:shd w:val="clear" w:color="auto" w:fill="auto"/>
            <w:noWrap/>
            <w:vAlign w:val="bottom"/>
            <w:hideMark/>
          </w:tcPr>
          <w:p w14:paraId="354354A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31292A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2A902B2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D3D94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15431A10"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1,112,788 </w:t>
            </w:r>
          </w:p>
        </w:tc>
      </w:tr>
      <w:tr w:rsidR="00E664C6" w:rsidRPr="00E664C6" w14:paraId="2CB6DF89"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2E5BC9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17</w:t>
            </w:r>
          </w:p>
        </w:tc>
        <w:tc>
          <w:tcPr>
            <w:tcW w:w="960" w:type="dxa"/>
            <w:tcBorders>
              <w:top w:val="nil"/>
              <w:left w:val="nil"/>
              <w:bottom w:val="single" w:sz="4" w:space="0" w:color="auto"/>
              <w:right w:val="single" w:sz="4" w:space="0" w:color="auto"/>
            </w:tcBorders>
            <w:shd w:val="clear" w:color="auto" w:fill="auto"/>
            <w:noWrap/>
            <w:vAlign w:val="bottom"/>
            <w:hideMark/>
          </w:tcPr>
          <w:p w14:paraId="5281DFA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5B6EC75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240</w:t>
            </w:r>
          </w:p>
        </w:tc>
        <w:tc>
          <w:tcPr>
            <w:tcW w:w="960" w:type="dxa"/>
            <w:tcBorders>
              <w:top w:val="nil"/>
              <w:left w:val="nil"/>
              <w:bottom w:val="single" w:sz="4" w:space="0" w:color="auto"/>
              <w:right w:val="single" w:sz="4" w:space="0" w:color="auto"/>
            </w:tcBorders>
            <w:shd w:val="clear" w:color="auto" w:fill="auto"/>
            <w:noWrap/>
            <w:vAlign w:val="bottom"/>
            <w:hideMark/>
          </w:tcPr>
          <w:p w14:paraId="43E31A9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A81057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2BAF5C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972B30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04AB2B6"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1,186,974 </w:t>
            </w:r>
          </w:p>
        </w:tc>
      </w:tr>
      <w:tr w:rsidR="00E664C6" w:rsidRPr="00E664C6" w14:paraId="0FEA3261"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EAA686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18</w:t>
            </w:r>
          </w:p>
        </w:tc>
        <w:tc>
          <w:tcPr>
            <w:tcW w:w="960" w:type="dxa"/>
            <w:tcBorders>
              <w:top w:val="nil"/>
              <w:left w:val="nil"/>
              <w:bottom w:val="single" w:sz="4" w:space="0" w:color="auto"/>
              <w:right w:val="single" w:sz="4" w:space="0" w:color="auto"/>
            </w:tcBorders>
            <w:shd w:val="clear" w:color="auto" w:fill="auto"/>
            <w:noWrap/>
            <w:vAlign w:val="bottom"/>
            <w:hideMark/>
          </w:tcPr>
          <w:p w14:paraId="6A751FB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2A4FCFD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175</w:t>
            </w:r>
          </w:p>
        </w:tc>
        <w:tc>
          <w:tcPr>
            <w:tcW w:w="960" w:type="dxa"/>
            <w:tcBorders>
              <w:top w:val="nil"/>
              <w:left w:val="nil"/>
              <w:bottom w:val="single" w:sz="4" w:space="0" w:color="auto"/>
              <w:right w:val="single" w:sz="4" w:space="0" w:color="auto"/>
            </w:tcBorders>
            <w:shd w:val="clear" w:color="auto" w:fill="auto"/>
            <w:noWrap/>
            <w:vAlign w:val="bottom"/>
            <w:hideMark/>
          </w:tcPr>
          <w:p w14:paraId="52E5ECD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9BC87C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30B14DD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04BAB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97C4830"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865,502 </w:t>
            </w:r>
          </w:p>
        </w:tc>
      </w:tr>
      <w:tr w:rsidR="00E664C6" w:rsidRPr="00E664C6" w14:paraId="4BEAF0B7"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69B7E0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19</w:t>
            </w:r>
          </w:p>
        </w:tc>
        <w:tc>
          <w:tcPr>
            <w:tcW w:w="960" w:type="dxa"/>
            <w:tcBorders>
              <w:top w:val="nil"/>
              <w:left w:val="nil"/>
              <w:bottom w:val="single" w:sz="4" w:space="0" w:color="auto"/>
              <w:right w:val="single" w:sz="4" w:space="0" w:color="auto"/>
            </w:tcBorders>
            <w:shd w:val="clear" w:color="auto" w:fill="auto"/>
            <w:noWrap/>
            <w:vAlign w:val="bottom"/>
            <w:hideMark/>
          </w:tcPr>
          <w:p w14:paraId="363E43E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0DC0F18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90</w:t>
            </w:r>
          </w:p>
        </w:tc>
        <w:tc>
          <w:tcPr>
            <w:tcW w:w="960" w:type="dxa"/>
            <w:tcBorders>
              <w:top w:val="nil"/>
              <w:left w:val="nil"/>
              <w:bottom w:val="single" w:sz="4" w:space="0" w:color="auto"/>
              <w:right w:val="single" w:sz="4" w:space="0" w:color="auto"/>
            </w:tcBorders>
            <w:shd w:val="clear" w:color="auto" w:fill="auto"/>
            <w:noWrap/>
            <w:vAlign w:val="bottom"/>
            <w:hideMark/>
          </w:tcPr>
          <w:p w14:paraId="3DFFA43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34C6ED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645B85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BBD302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3ED2680"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445,115 </w:t>
            </w:r>
          </w:p>
        </w:tc>
      </w:tr>
      <w:tr w:rsidR="00E664C6" w:rsidRPr="00E664C6" w14:paraId="41893664"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0F216BC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20</w:t>
            </w:r>
          </w:p>
        </w:tc>
        <w:tc>
          <w:tcPr>
            <w:tcW w:w="960" w:type="dxa"/>
            <w:tcBorders>
              <w:top w:val="nil"/>
              <w:left w:val="nil"/>
              <w:bottom w:val="single" w:sz="4" w:space="0" w:color="auto"/>
              <w:right w:val="single" w:sz="4" w:space="0" w:color="auto"/>
            </w:tcBorders>
            <w:shd w:val="clear" w:color="auto" w:fill="auto"/>
            <w:noWrap/>
            <w:vAlign w:val="bottom"/>
            <w:hideMark/>
          </w:tcPr>
          <w:p w14:paraId="102FABB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0FDAAAA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65</w:t>
            </w:r>
          </w:p>
        </w:tc>
        <w:tc>
          <w:tcPr>
            <w:tcW w:w="960" w:type="dxa"/>
            <w:tcBorders>
              <w:top w:val="nil"/>
              <w:left w:val="nil"/>
              <w:bottom w:val="single" w:sz="4" w:space="0" w:color="auto"/>
              <w:right w:val="single" w:sz="4" w:space="0" w:color="auto"/>
            </w:tcBorders>
            <w:shd w:val="clear" w:color="auto" w:fill="auto"/>
            <w:noWrap/>
            <w:vAlign w:val="bottom"/>
            <w:hideMark/>
          </w:tcPr>
          <w:p w14:paraId="52D26E9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DEA469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FA3DD1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C66608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E92D1D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321,472 </w:t>
            </w:r>
          </w:p>
        </w:tc>
      </w:tr>
      <w:tr w:rsidR="00E664C6" w:rsidRPr="00E664C6" w14:paraId="3F41F0CA"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47F87BE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21</w:t>
            </w:r>
          </w:p>
        </w:tc>
        <w:tc>
          <w:tcPr>
            <w:tcW w:w="960" w:type="dxa"/>
            <w:tcBorders>
              <w:top w:val="nil"/>
              <w:left w:val="nil"/>
              <w:bottom w:val="single" w:sz="4" w:space="0" w:color="auto"/>
              <w:right w:val="single" w:sz="4" w:space="0" w:color="auto"/>
            </w:tcBorders>
            <w:shd w:val="clear" w:color="auto" w:fill="auto"/>
            <w:noWrap/>
            <w:vAlign w:val="bottom"/>
            <w:hideMark/>
          </w:tcPr>
          <w:p w14:paraId="22B579F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27151C6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6FEE5D5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67F19D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50E005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52F601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58660F1"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370,929 </w:t>
            </w:r>
          </w:p>
        </w:tc>
      </w:tr>
      <w:tr w:rsidR="00E664C6" w:rsidRPr="00E664C6" w14:paraId="42CD24FE"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FBF5D4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22</w:t>
            </w:r>
          </w:p>
        </w:tc>
        <w:tc>
          <w:tcPr>
            <w:tcW w:w="960" w:type="dxa"/>
            <w:tcBorders>
              <w:top w:val="nil"/>
              <w:left w:val="nil"/>
              <w:bottom w:val="single" w:sz="4" w:space="0" w:color="auto"/>
              <w:right w:val="single" w:sz="4" w:space="0" w:color="auto"/>
            </w:tcBorders>
            <w:shd w:val="clear" w:color="auto" w:fill="auto"/>
            <w:noWrap/>
            <w:vAlign w:val="bottom"/>
            <w:hideMark/>
          </w:tcPr>
          <w:p w14:paraId="4B6B771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74C3991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140</w:t>
            </w:r>
          </w:p>
        </w:tc>
        <w:tc>
          <w:tcPr>
            <w:tcW w:w="960" w:type="dxa"/>
            <w:tcBorders>
              <w:top w:val="nil"/>
              <w:left w:val="nil"/>
              <w:bottom w:val="single" w:sz="4" w:space="0" w:color="auto"/>
              <w:right w:val="single" w:sz="4" w:space="0" w:color="auto"/>
            </w:tcBorders>
            <w:shd w:val="clear" w:color="auto" w:fill="auto"/>
            <w:noWrap/>
            <w:vAlign w:val="bottom"/>
            <w:hideMark/>
          </w:tcPr>
          <w:p w14:paraId="0ED435D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E22149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C7D4B2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DBA31F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1B1D0172"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692,402 </w:t>
            </w:r>
          </w:p>
        </w:tc>
      </w:tr>
      <w:tr w:rsidR="00E664C6" w:rsidRPr="00E664C6" w14:paraId="42E5FF72"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310EF0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23</w:t>
            </w:r>
          </w:p>
        </w:tc>
        <w:tc>
          <w:tcPr>
            <w:tcW w:w="960" w:type="dxa"/>
            <w:tcBorders>
              <w:top w:val="nil"/>
              <w:left w:val="nil"/>
              <w:bottom w:val="single" w:sz="4" w:space="0" w:color="auto"/>
              <w:right w:val="single" w:sz="4" w:space="0" w:color="auto"/>
            </w:tcBorders>
            <w:shd w:val="clear" w:color="auto" w:fill="auto"/>
            <w:noWrap/>
            <w:vAlign w:val="bottom"/>
            <w:hideMark/>
          </w:tcPr>
          <w:p w14:paraId="4BAFAA3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2D21569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160</w:t>
            </w:r>
          </w:p>
        </w:tc>
        <w:tc>
          <w:tcPr>
            <w:tcW w:w="960" w:type="dxa"/>
            <w:tcBorders>
              <w:top w:val="nil"/>
              <w:left w:val="nil"/>
              <w:bottom w:val="single" w:sz="4" w:space="0" w:color="auto"/>
              <w:right w:val="single" w:sz="4" w:space="0" w:color="auto"/>
            </w:tcBorders>
            <w:shd w:val="clear" w:color="auto" w:fill="auto"/>
            <w:noWrap/>
            <w:vAlign w:val="bottom"/>
            <w:hideMark/>
          </w:tcPr>
          <w:p w14:paraId="7304E16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D48563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B1FF9C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4BF49C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097E072D"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791,316 </w:t>
            </w:r>
          </w:p>
        </w:tc>
      </w:tr>
      <w:tr w:rsidR="00E664C6" w:rsidRPr="00E664C6" w14:paraId="16575FF4"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0C8597C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24</w:t>
            </w:r>
          </w:p>
        </w:tc>
        <w:tc>
          <w:tcPr>
            <w:tcW w:w="960" w:type="dxa"/>
            <w:tcBorders>
              <w:top w:val="nil"/>
              <w:left w:val="nil"/>
              <w:bottom w:val="single" w:sz="4" w:space="0" w:color="auto"/>
              <w:right w:val="single" w:sz="4" w:space="0" w:color="auto"/>
            </w:tcBorders>
            <w:shd w:val="clear" w:color="auto" w:fill="auto"/>
            <w:noWrap/>
            <w:vAlign w:val="bottom"/>
            <w:hideMark/>
          </w:tcPr>
          <w:p w14:paraId="7C1D4FB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0B87FAD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140</w:t>
            </w:r>
          </w:p>
        </w:tc>
        <w:tc>
          <w:tcPr>
            <w:tcW w:w="960" w:type="dxa"/>
            <w:tcBorders>
              <w:top w:val="nil"/>
              <w:left w:val="nil"/>
              <w:bottom w:val="single" w:sz="4" w:space="0" w:color="auto"/>
              <w:right w:val="single" w:sz="4" w:space="0" w:color="auto"/>
            </w:tcBorders>
            <w:shd w:val="clear" w:color="auto" w:fill="auto"/>
            <w:noWrap/>
            <w:vAlign w:val="bottom"/>
            <w:hideMark/>
          </w:tcPr>
          <w:p w14:paraId="7AAE0DF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259FDF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16FD84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AC9BBF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83CFA34"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692,402 </w:t>
            </w:r>
          </w:p>
        </w:tc>
      </w:tr>
      <w:tr w:rsidR="00E664C6" w:rsidRPr="00E664C6" w14:paraId="2E7A6FA1"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108DCE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3C1015F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5026679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135</w:t>
            </w:r>
          </w:p>
        </w:tc>
        <w:tc>
          <w:tcPr>
            <w:tcW w:w="960" w:type="dxa"/>
            <w:tcBorders>
              <w:top w:val="nil"/>
              <w:left w:val="nil"/>
              <w:bottom w:val="single" w:sz="4" w:space="0" w:color="auto"/>
              <w:right w:val="single" w:sz="4" w:space="0" w:color="auto"/>
            </w:tcBorders>
            <w:shd w:val="clear" w:color="auto" w:fill="auto"/>
            <w:noWrap/>
            <w:vAlign w:val="bottom"/>
            <w:hideMark/>
          </w:tcPr>
          <w:p w14:paraId="6C61BA3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C30C09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55861B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AA906F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217C093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667,673 </w:t>
            </w:r>
          </w:p>
        </w:tc>
      </w:tr>
      <w:tr w:rsidR="00E664C6" w:rsidRPr="00E664C6" w14:paraId="387D6F6F"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A19358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26</w:t>
            </w:r>
          </w:p>
        </w:tc>
        <w:tc>
          <w:tcPr>
            <w:tcW w:w="960" w:type="dxa"/>
            <w:tcBorders>
              <w:top w:val="nil"/>
              <w:left w:val="nil"/>
              <w:bottom w:val="single" w:sz="4" w:space="0" w:color="auto"/>
              <w:right w:val="single" w:sz="4" w:space="0" w:color="auto"/>
            </w:tcBorders>
            <w:shd w:val="clear" w:color="auto" w:fill="auto"/>
            <w:noWrap/>
            <w:vAlign w:val="bottom"/>
            <w:hideMark/>
          </w:tcPr>
          <w:p w14:paraId="24264A5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6BFDBE9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90</w:t>
            </w:r>
          </w:p>
        </w:tc>
        <w:tc>
          <w:tcPr>
            <w:tcW w:w="960" w:type="dxa"/>
            <w:tcBorders>
              <w:top w:val="nil"/>
              <w:left w:val="nil"/>
              <w:bottom w:val="single" w:sz="4" w:space="0" w:color="auto"/>
              <w:right w:val="single" w:sz="4" w:space="0" w:color="auto"/>
            </w:tcBorders>
            <w:shd w:val="clear" w:color="auto" w:fill="auto"/>
            <w:noWrap/>
            <w:vAlign w:val="bottom"/>
            <w:hideMark/>
          </w:tcPr>
          <w:p w14:paraId="0085BDC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5CDB51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FA8DF4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C8A039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05B9805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445,115 </w:t>
            </w:r>
          </w:p>
        </w:tc>
      </w:tr>
      <w:tr w:rsidR="00E664C6" w:rsidRPr="00E664C6" w14:paraId="5D296D0F"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F28C96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lastRenderedPageBreak/>
              <w:t>27</w:t>
            </w:r>
          </w:p>
        </w:tc>
        <w:tc>
          <w:tcPr>
            <w:tcW w:w="960" w:type="dxa"/>
            <w:tcBorders>
              <w:top w:val="nil"/>
              <w:left w:val="nil"/>
              <w:bottom w:val="single" w:sz="4" w:space="0" w:color="auto"/>
              <w:right w:val="single" w:sz="4" w:space="0" w:color="auto"/>
            </w:tcBorders>
            <w:shd w:val="clear" w:color="auto" w:fill="auto"/>
            <w:noWrap/>
            <w:vAlign w:val="bottom"/>
            <w:hideMark/>
          </w:tcPr>
          <w:p w14:paraId="1AC2F9E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w:t>
            </w:r>
          </w:p>
        </w:tc>
        <w:tc>
          <w:tcPr>
            <w:tcW w:w="960" w:type="dxa"/>
            <w:tcBorders>
              <w:top w:val="nil"/>
              <w:left w:val="nil"/>
              <w:bottom w:val="single" w:sz="4" w:space="0" w:color="auto"/>
              <w:right w:val="single" w:sz="4" w:space="0" w:color="auto"/>
            </w:tcBorders>
            <w:shd w:val="clear" w:color="auto" w:fill="auto"/>
            <w:noWrap/>
            <w:vAlign w:val="bottom"/>
            <w:hideMark/>
          </w:tcPr>
          <w:p w14:paraId="44F95D4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65</w:t>
            </w:r>
          </w:p>
        </w:tc>
        <w:tc>
          <w:tcPr>
            <w:tcW w:w="960" w:type="dxa"/>
            <w:tcBorders>
              <w:top w:val="nil"/>
              <w:left w:val="nil"/>
              <w:bottom w:val="single" w:sz="4" w:space="0" w:color="auto"/>
              <w:right w:val="single" w:sz="4" w:space="0" w:color="auto"/>
            </w:tcBorders>
            <w:shd w:val="clear" w:color="auto" w:fill="auto"/>
            <w:noWrap/>
            <w:vAlign w:val="bottom"/>
            <w:hideMark/>
          </w:tcPr>
          <w:p w14:paraId="2D7BF7C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7DE8E9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0010771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2B5977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B801EC6"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167,166 </w:t>
            </w:r>
          </w:p>
        </w:tc>
      </w:tr>
      <w:tr w:rsidR="00E664C6" w:rsidRPr="00E664C6" w14:paraId="1A04399F"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949CBF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28</w:t>
            </w:r>
          </w:p>
        </w:tc>
        <w:tc>
          <w:tcPr>
            <w:tcW w:w="960" w:type="dxa"/>
            <w:tcBorders>
              <w:top w:val="nil"/>
              <w:left w:val="nil"/>
              <w:bottom w:val="single" w:sz="4" w:space="0" w:color="auto"/>
              <w:right w:val="single" w:sz="4" w:space="0" w:color="auto"/>
            </w:tcBorders>
            <w:shd w:val="clear" w:color="auto" w:fill="auto"/>
            <w:noWrap/>
            <w:vAlign w:val="bottom"/>
            <w:hideMark/>
          </w:tcPr>
          <w:p w14:paraId="3F23863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50E00B7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110</w:t>
            </w:r>
          </w:p>
        </w:tc>
        <w:tc>
          <w:tcPr>
            <w:tcW w:w="960" w:type="dxa"/>
            <w:tcBorders>
              <w:top w:val="nil"/>
              <w:left w:val="nil"/>
              <w:bottom w:val="single" w:sz="4" w:space="0" w:color="auto"/>
              <w:right w:val="single" w:sz="4" w:space="0" w:color="auto"/>
            </w:tcBorders>
            <w:shd w:val="clear" w:color="auto" w:fill="auto"/>
            <w:noWrap/>
            <w:vAlign w:val="bottom"/>
            <w:hideMark/>
          </w:tcPr>
          <w:p w14:paraId="3E24FC9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BFB32A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ED4006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21067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C01541A"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272,015 </w:t>
            </w:r>
          </w:p>
        </w:tc>
      </w:tr>
      <w:tr w:rsidR="00E664C6" w:rsidRPr="00E664C6" w14:paraId="3CADC0E6"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F2349E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29</w:t>
            </w:r>
          </w:p>
        </w:tc>
        <w:tc>
          <w:tcPr>
            <w:tcW w:w="960" w:type="dxa"/>
            <w:tcBorders>
              <w:top w:val="nil"/>
              <w:left w:val="nil"/>
              <w:bottom w:val="single" w:sz="4" w:space="0" w:color="auto"/>
              <w:right w:val="single" w:sz="4" w:space="0" w:color="auto"/>
            </w:tcBorders>
            <w:shd w:val="clear" w:color="auto" w:fill="auto"/>
            <w:noWrap/>
            <w:vAlign w:val="bottom"/>
            <w:hideMark/>
          </w:tcPr>
          <w:p w14:paraId="77D5EA4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648A29D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150</w:t>
            </w:r>
          </w:p>
        </w:tc>
        <w:tc>
          <w:tcPr>
            <w:tcW w:w="960" w:type="dxa"/>
            <w:tcBorders>
              <w:top w:val="nil"/>
              <w:left w:val="nil"/>
              <w:bottom w:val="single" w:sz="4" w:space="0" w:color="auto"/>
              <w:right w:val="single" w:sz="4" w:space="0" w:color="auto"/>
            </w:tcBorders>
            <w:shd w:val="clear" w:color="auto" w:fill="auto"/>
            <w:noWrap/>
            <w:vAlign w:val="bottom"/>
            <w:hideMark/>
          </w:tcPr>
          <w:p w14:paraId="237515C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DD1048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36A7805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2F3668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EB0B8C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741,859 </w:t>
            </w:r>
          </w:p>
        </w:tc>
      </w:tr>
      <w:tr w:rsidR="00E664C6" w:rsidRPr="00E664C6" w14:paraId="4792CED6"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0CE152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30</w:t>
            </w:r>
          </w:p>
        </w:tc>
        <w:tc>
          <w:tcPr>
            <w:tcW w:w="960" w:type="dxa"/>
            <w:tcBorders>
              <w:top w:val="nil"/>
              <w:left w:val="nil"/>
              <w:bottom w:val="single" w:sz="4" w:space="0" w:color="auto"/>
              <w:right w:val="single" w:sz="4" w:space="0" w:color="auto"/>
            </w:tcBorders>
            <w:shd w:val="clear" w:color="auto" w:fill="auto"/>
            <w:noWrap/>
            <w:vAlign w:val="bottom"/>
            <w:hideMark/>
          </w:tcPr>
          <w:p w14:paraId="2D0DDAE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079374B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100</w:t>
            </w:r>
          </w:p>
        </w:tc>
        <w:tc>
          <w:tcPr>
            <w:tcW w:w="960" w:type="dxa"/>
            <w:tcBorders>
              <w:top w:val="nil"/>
              <w:left w:val="nil"/>
              <w:bottom w:val="single" w:sz="4" w:space="0" w:color="auto"/>
              <w:right w:val="single" w:sz="4" w:space="0" w:color="auto"/>
            </w:tcBorders>
            <w:shd w:val="clear" w:color="auto" w:fill="auto"/>
            <w:noWrap/>
            <w:vAlign w:val="bottom"/>
            <w:hideMark/>
          </w:tcPr>
          <w:p w14:paraId="3EF124B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441A359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3C874CD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D9B52D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AC58BD9"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494,573 </w:t>
            </w:r>
          </w:p>
        </w:tc>
      </w:tr>
      <w:tr w:rsidR="00E664C6" w:rsidRPr="00E664C6" w14:paraId="2BD68B88"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6615BAC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31</w:t>
            </w:r>
          </w:p>
        </w:tc>
        <w:tc>
          <w:tcPr>
            <w:tcW w:w="960" w:type="dxa"/>
            <w:tcBorders>
              <w:top w:val="nil"/>
              <w:left w:val="nil"/>
              <w:bottom w:val="single" w:sz="4" w:space="0" w:color="auto"/>
              <w:right w:val="single" w:sz="4" w:space="0" w:color="auto"/>
            </w:tcBorders>
            <w:shd w:val="clear" w:color="auto" w:fill="auto"/>
            <w:noWrap/>
            <w:vAlign w:val="bottom"/>
            <w:hideMark/>
          </w:tcPr>
          <w:p w14:paraId="6AAAAE9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30F7E7D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165</w:t>
            </w:r>
          </w:p>
        </w:tc>
        <w:tc>
          <w:tcPr>
            <w:tcW w:w="960" w:type="dxa"/>
            <w:tcBorders>
              <w:top w:val="nil"/>
              <w:left w:val="nil"/>
              <w:bottom w:val="single" w:sz="4" w:space="0" w:color="auto"/>
              <w:right w:val="single" w:sz="4" w:space="0" w:color="auto"/>
            </w:tcBorders>
            <w:shd w:val="clear" w:color="auto" w:fill="auto"/>
            <w:noWrap/>
            <w:vAlign w:val="bottom"/>
            <w:hideMark/>
          </w:tcPr>
          <w:p w14:paraId="3184E90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2EDBDC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0595CF7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44B1B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96391A0"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816,045 </w:t>
            </w:r>
          </w:p>
        </w:tc>
      </w:tr>
      <w:tr w:rsidR="00E664C6" w:rsidRPr="00E664C6" w14:paraId="755A9450"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60B3A32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32</w:t>
            </w:r>
          </w:p>
        </w:tc>
        <w:tc>
          <w:tcPr>
            <w:tcW w:w="960" w:type="dxa"/>
            <w:tcBorders>
              <w:top w:val="nil"/>
              <w:left w:val="nil"/>
              <w:bottom w:val="single" w:sz="4" w:space="0" w:color="auto"/>
              <w:right w:val="single" w:sz="4" w:space="0" w:color="auto"/>
            </w:tcBorders>
            <w:shd w:val="clear" w:color="auto" w:fill="auto"/>
            <w:noWrap/>
            <w:vAlign w:val="bottom"/>
            <w:hideMark/>
          </w:tcPr>
          <w:p w14:paraId="66877C6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76BBE50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175</w:t>
            </w:r>
          </w:p>
        </w:tc>
        <w:tc>
          <w:tcPr>
            <w:tcW w:w="960" w:type="dxa"/>
            <w:tcBorders>
              <w:top w:val="nil"/>
              <w:left w:val="nil"/>
              <w:bottom w:val="single" w:sz="4" w:space="0" w:color="auto"/>
              <w:right w:val="single" w:sz="4" w:space="0" w:color="auto"/>
            </w:tcBorders>
            <w:shd w:val="clear" w:color="auto" w:fill="auto"/>
            <w:noWrap/>
            <w:vAlign w:val="bottom"/>
            <w:hideMark/>
          </w:tcPr>
          <w:p w14:paraId="214D986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38DB977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B4F262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7738D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26CBD943"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865,502 </w:t>
            </w:r>
          </w:p>
        </w:tc>
      </w:tr>
      <w:tr w:rsidR="00E664C6" w:rsidRPr="00E664C6" w14:paraId="212B4774"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EF8AB0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33</w:t>
            </w:r>
          </w:p>
        </w:tc>
        <w:tc>
          <w:tcPr>
            <w:tcW w:w="960" w:type="dxa"/>
            <w:tcBorders>
              <w:top w:val="nil"/>
              <w:left w:val="nil"/>
              <w:bottom w:val="single" w:sz="4" w:space="0" w:color="auto"/>
              <w:right w:val="single" w:sz="4" w:space="0" w:color="auto"/>
            </w:tcBorders>
            <w:shd w:val="clear" w:color="auto" w:fill="auto"/>
            <w:noWrap/>
            <w:vAlign w:val="bottom"/>
            <w:hideMark/>
          </w:tcPr>
          <w:p w14:paraId="14C565F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73E4657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100</w:t>
            </w:r>
          </w:p>
        </w:tc>
        <w:tc>
          <w:tcPr>
            <w:tcW w:w="960" w:type="dxa"/>
            <w:tcBorders>
              <w:top w:val="nil"/>
              <w:left w:val="nil"/>
              <w:bottom w:val="single" w:sz="4" w:space="0" w:color="auto"/>
              <w:right w:val="single" w:sz="4" w:space="0" w:color="auto"/>
            </w:tcBorders>
            <w:shd w:val="clear" w:color="auto" w:fill="auto"/>
            <w:noWrap/>
            <w:vAlign w:val="bottom"/>
            <w:hideMark/>
          </w:tcPr>
          <w:p w14:paraId="1C15E97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FAB371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366DC05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7929B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2423655"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494,573 </w:t>
            </w:r>
          </w:p>
        </w:tc>
      </w:tr>
      <w:tr w:rsidR="00E664C6" w:rsidRPr="00E664C6" w14:paraId="5212015F"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460E83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34</w:t>
            </w:r>
          </w:p>
        </w:tc>
        <w:tc>
          <w:tcPr>
            <w:tcW w:w="960" w:type="dxa"/>
            <w:tcBorders>
              <w:top w:val="nil"/>
              <w:left w:val="nil"/>
              <w:bottom w:val="single" w:sz="4" w:space="0" w:color="auto"/>
              <w:right w:val="single" w:sz="4" w:space="0" w:color="auto"/>
            </w:tcBorders>
            <w:shd w:val="clear" w:color="auto" w:fill="auto"/>
            <w:noWrap/>
            <w:vAlign w:val="bottom"/>
            <w:hideMark/>
          </w:tcPr>
          <w:p w14:paraId="64B8320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0.625</w:t>
            </w:r>
          </w:p>
        </w:tc>
        <w:tc>
          <w:tcPr>
            <w:tcW w:w="960" w:type="dxa"/>
            <w:tcBorders>
              <w:top w:val="nil"/>
              <w:left w:val="nil"/>
              <w:bottom w:val="single" w:sz="4" w:space="0" w:color="auto"/>
              <w:right w:val="single" w:sz="4" w:space="0" w:color="auto"/>
            </w:tcBorders>
            <w:shd w:val="clear" w:color="auto" w:fill="auto"/>
            <w:noWrap/>
            <w:vAlign w:val="bottom"/>
            <w:hideMark/>
          </w:tcPr>
          <w:p w14:paraId="096355E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60</w:t>
            </w:r>
          </w:p>
        </w:tc>
        <w:tc>
          <w:tcPr>
            <w:tcW w:w="960" w:type="dxa"/>
            <w:tcBorders>
              <w:top w:val="nil"/>
              <w:left w:val="nil"/>
              <w:bottom w:val="single" w:sz="4" w:space="0" w:color="auto"/>
              <w:right w:val="single" w:sz="4" w:space="0" w:color="auto"/>
            </w:tcBorders>
            <w:shd w:val="clear" w:color="auto" w:fill="auto"/>
            <w:noWrap/>
            <w:vAlign w:val="bottom"/>
            <w:hideMark/>
          </w:tcPr>
          <w:p w14:paraId="42E2B32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E0039F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39BC54D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90F274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2562959A"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74,186 </w:t>
            </w:r>
          </w:p>
        </w:tc>
      </w:tr>
      <w:tr w:rsidR="00E664C6" w:rsidRPr="00E664C6" w14:paraId="29D02EA1"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7CB7DD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35</w:t>
            </w:r>
          </w:p>
        </w:tc>
        <w:tc>
          <w:tcPr>
            <w:tcW w:w="960" w:type="dxa"/>
            <w:tcBorders>
              <w:top w:val="nil"/>
              <w:left w:val="nil"/>
              <w:bottom w:val="single" w:sz="4" w:space="0" w:color="auto"/>
              <w:right w:val="single" w:sz="4" w:space="0" w:color="auto"/>
            </w:tcBorders>
            <w:shd w:val="clear" w:color="auto" w:fill="auto"/>
            <w:noWrap/>
            <w:vAlign w:val="bottom"/>
            <w:hideMark/>
          </w:tcPr>
          <w:p w14:paraId="74A7834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0.625</w:t>
            </w:r>
          </w:p>
        </w:tc>
        <w:tc>
          <w:tcPr>
            <w:tcW w:w="960" w:type="dxa"/>
            <w:tcBorders>
              <w:top w:val="nil"/>
              <w:left w:val="nil"/>
              <w:bottom w:val="single" w:sz="4" w:space="0" w:color="auto"/>
              <w:right w:val="single" w:sz="4" w:space="0" w:color="auto"/>
            </w:tcBorders>
            <w:shd w:val="clear" w:color="auto" w:fill="auto"/>
            <w:noWrap/>
            <w:vAlign w:val="bottom"/>
            <w:hideMark/>
          </w:tcPr>
          <w:p w14:paraId="5963793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80</w:t>
            </w:r>
          </w:p>
        </w:tc>
        <w:tc>
          <w:tcPr>
            <w:tcW w:w="960" w:type="dxa"/>
            <w:tcBorders>
              <w:top w:val="nil"/>
              <w:left w:val="nil"/>
              <w:bottom w:val="single" w:sz="4" w:space="0" w:color="auto"/>
              <w:right w:val="single" w:sz="4" w:space="0" w:color="auto"/>
            </w:tcBorders>
            <w:shd w:val="clear" w:color="auto" w:fill="auto"/>
            <w:noWrap/>
            <w:vAlign w:val="bottom"/>
            <w:hideMark/>
          </w:tcPr>
          <w:p w14:paraId="582EA8D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10F58B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4CAD81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4D1D1D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06CD264"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98,915 </w:t>
            </w:r>
          </w:p>
        </w:tc>
      </w:tr>
      <w:tr w:rsidR="00E664C6" w:rsidRPr="00E664C6" w14:paraId="49A5B96D"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299AA5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36</w:t>
            </w:r>
          </w:p>
        </w:tc>
        <w:tc>
          <w:tcPr>
            <w:tcW w:w="960" w:type="dxa"/>
            <w:tcBorders>
              <w:top w:val="nil"/>
              <w:left w:val="nil"/>
              <w:bottom w:val="single" w:sz="4" w:space="0" w:color="auto"/>
              <w:right w:val="single" w:sz="4" w:space="0" w:color="auto"/>
            </w:tcBorders>
            <w:shd w:val="clear" w:color="auto" w:fill="auto"/>
            <w:noWrap/>
            <w:vAlign w:val="bottom"/>
            <w:hideMark/>
          </w:tcPr>
          <w:p w14:paraId="4C28628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4458EB9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22523D0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47FBC1C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2044FA4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41741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170F8673"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370,929 </w:t>
            </w:r>
          </w:p>
        </w:tc>
      </w:tr>
      <w:tr w:rsidR="00E664C6" w:rsidRPr="00E664C6" w14:paraId="13350B3B"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5C767A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37</w:t>
            </w:r>
          </w:p>
        </w:tc>
        <w:tc>
          <w:tcPr>
            <w:tcW w:w="960" w:type="dxa"/>
            <w:tcBorders>
              <w:top w:val="nil"/>
              <w:left w:val="nil"/>
              <w:bottom w:val="single" w:sz="4" w:space="0" w:color="auto"/>
              <w:right w:val="single" w:sz="4" w:space="0" w:color="auto"/>
            </w:tcBorders>
            <w:shd w:val="clear" w:color="auto" w:fill="auto"/>
            <w:noWrap/>
            <w:vAlign w:val="bottom"/>
            <w:hideMark/>
          </w:tcPr>
          <w:p w14:paraId="7DE088C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29ECE23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80</w:t>
            </w:r>
          </w:p>
        </w:tc>
        <w:tc>
          <w:tcPr>
            <w:tcW w:w="960" w:type="dxa"/>
            <w:tcBorders>
              <w:top w:val="nil"/>
              <w:left w:val="nil"/>
              <w:bottom w:val="single" w:sz="4" w:space="0" w:color="auto"/>
              <w:right w:val="single" w:sz="4" w:space="0" w:color="auto"/>
            </w:tcBorders>
            <w:shd w:val="clear" w:color="auto" w:fill="auto"/>
            <w:noWrap/>
            <w:vAlign w:val="bottom"/>
            <w:hideMark/>
          </w:tcPr>
          <w:p w14:paraId="7FAE0A7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2D3D4C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239627C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280456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1DF32091"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395,658 </w:t>
            </w:r>
          </w:p>
        </w:tc>
      </w:tr>
      <w:tr w:rsidR="00E664C6" w:rsidRPr="00E664C6" w14:paraId="7707BF7C"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4FCA4E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38</w:t>
            </w:r>
          </w:p>
        </w:tc>
        <w:tc>
          <w:tcPr>
            <w:tcW w:w="960" w:type="dxa"/>
            <w:tcBorders>
              <w:top w:val="nil"/>
              <w:left w:val="nil"/>
              <w:bottom w:val="single" w:sz="4" w:space="0" w:color="auto"/>
              <w:right w:val="single" w:sz="4" w:space="0" w:color="auto"/>
            </w:tcBorders>
            <w:shd w:val="clear" w:color="auto" w:fill="auto"/>
            <w:noWrap/>
            <w:vAlign w:val="bottom"/>
            <w:hideMark/>
          </w:tcPr>
          <w:p w14:paraId="1B4E52C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26C9C29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150</w:t>
            </w:r>
          </w:p>
        </w:tc>
        <w:tc>
          <w:tcPr>
            <w:tcW w:w="960" w:type="dxa"/>
            <w:tcBorders>
              <w:top w:val="nil"/>
              <w:left w:val="nil"/>
              <w:bottom w:val="single" w:sz="4" w:space="0" w:color="auto"/>
              <w:right w:val="single" w:sz="4" w:space="0" w:color="auto"/>
            </w:tcBorders>
            <w:shd w:val="clear" w:color="auto" w:fill="auto"/>
            <w:noWrap/>
            <w:vAlign w:val="bottom"/>
            <w:hideMark/>
          </w:tcPr>
          <w:p w14:paraId="253B7DE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659558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C33746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D06B65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58E16A6"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741,859 </w:t>
            </w:r>
          </w:p>
        </w:tc>
      </w:tr>
      <w:tr w:rsidR="00E664C6" w:rsidRPr="00E664C6" w14:paraId="3D669F63"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F49E87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39</w:t>
            </w:r>
          </w:p>
        </w:tc>
        <w:tc>
          <w:tcPr>
            <w:tcW w:w="960" w:type="dxa"/>
            <w:tcBorders>
              <w:top w:val="nil"/>
              <w:left w:val="nil"/>
              <w:bottom w:val="single" w:sz="4" w:space="0" w:color="auto"/>
              <w:right w:val="single" w:sz="4" w:space="0" w:color="auto"/>
            </w:tcBorders>
            <w:shd w:val="clear" w:color="auto" w:fill="auto"/>
            <w:noWrap/>
            <w:vAlign w:val="bottom"/>
            <w:hideMark/>
          </w:tcPr>
          <w:p w14:paraId="5166FC3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76E6704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180</w:t>
            </w:r>
          </w:p>
        </w:tc>
        <w:tc>
          <w:tcPr>
            <w:tcW w:w="960" w:type="dxa"/>
            <w:tcBorders>
              <w:top w:val="nil"/>
              <w:left w:val="nil"/>
              <w:bottom w:val="single" w:sz="4" w:space="0" w:color="auto"/>
              <w:right w:val="single" w:sz="4" w:space="0" w:color="auto"/>
            </w:tcBorders>
            <w:shd w:val="clear" w:color="auto" w:fill="auto"/>
            <w:noWrap/>
            <w:vAlign w:val="bottom"/>
            <w:hideMark/>
          </w:tcPr>
          <w:p w14:paraId="016DD9F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E4EA22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9AEB2F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E139C9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16B5346"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890,231 </w:t>
            </w:r>
          </w:p>
        </w:tc>
      </w:tr>
      <w:tr w:rsidR="00E664C6" w:rsidRPr="00E664C6" w14:paraId="03B5E44D"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4FD75A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40</w:t>
            </w:r>
          </w:p>
        </w:tc>
        <w:tc>
          <w:tcPr>
            <w:tcW w:w="960" w:type="dxa"/>
            <w:tcBorders>
              <w:top w:val="nil"/>
              <w:left w:val="nil"/>
              <w:bottom w:val="single" w:sz="4" w:space="0" w:color="auto"/>
              <w:right w:val="single" w:sz="4" w:space="0" w:color="auto"/>
            </w:tcBorders>
            <w:shd w:val="clear" w:color="auto" w:fill="auto"/>
            <w:noWrap/>
            <w:vAlign w:val="bottom"/>
            <w:hideMark/>
          </w:tcPr>
          <w:p w14:paraId="2A97559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0ABB7E7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165</w:t>
            </w:r>
          </w:p>
        </w:tc>
        <w:tc>
          <w:tcPr>
            <w:tcW w:w="960" w:type="dxa"/>
            <w:tcBorders>
              <w:top w:val="nil"/>
              <w:left w:val="nil"/>
              <w:bottom w:val="single" w:sz="4" w:space="0" w:color="auto"/>
              <w:right w:val="single" w:sz="4" w:space="0" w:color="auto"/>
            </w:tcBorders>
            <w:shd w:val="clear" w:color="auto" w:fill="auto"/>
            <w:noWrap/>
            <w:vAlign w:val="bottom"/>
            <w:hideMark/>
          </w:tcPr>
          <w:p w14:paraId="55EF515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90FE2E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180742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7F5243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227BD562"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816,045 </w:t>
            </w:r>
          </w:p>
        </w:tc>
      </w:tr>
      <w:tr w:rsidR="00E664C6" w:rsidRPr="00E664C6" w14:paraId="0909160D"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4040D5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41</w:t>
            </w:r>
          </w:p>
        </w:tc>
        <w:tc>
          <w:tcPr>
            <w:tcW w:w="960" w:type="dxa"/>
            <w:tcBorders>
              <w:top w:val="nil"/>
              <w:left w:val="nil"/>
              <w:bottom w:val="single" w:sz="4" w:space="0" w:color="auto"/>
              <w:right w:val="single" w:sz="4" w:space="0" w:color="auto"/>
            </w:tcBorders>
            <w:shd w:val="clear" w:color="auto" w:fill="auto"/>
            <w:noWrap/>
            <w:vAlign w:val="bottom"/>
            <w:hideMark/>
          </w:tcPr>
          <w:p w14:paraId="5A80219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1.875</w:t>
            </w:r>
          </w:p>
        </w:tc>
        <w:tc>
          <w:tcPr>
            <w:tcW w:w="960" w:type="dxa"/>
            <w:tcBorders>
              <w:top w:val="nil"/>
              <w:left w:val="nil"/>
              <w:bottom w:val="single" w:sz="4" w:space="0" w:color="auto"/>
              <w:right w:val="single" w:sz="4" w:space="0" w:color="auto"/>
            </w:tcBorders>
            <w:shd w:val="clear" w:color="auto" w:fill="auto"/>
            <w:noWrap/>
            <w:vAlign w:val="bottom"/>
            <w:hideMark/>
          </w:tcPr>
          <w:p w14:paraId="0094674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140</w:t>
            </w:r>
          </w:p>
        </w:tc>
        <w:tc>
          <w:tcPr>
            <w:tcW w:w="960" w:type="dxa"/>
            <w:tcBorders>
              <w:top w:val="nil"/>
              <w:left w:val="nil"/>
              <w:bottom w:val="single" w:sz="4" w:space="0" w:color="auto"/>
              <w:right w:val="single" w:sz="4" w:space="0" w:color="auto"/>
            </w:tcBorders>
            <w:shd w:val="clear" w:color="auto" w:fill="auto"/>
            <w:noWrap/>
            <w:vAlign w:val="bottom"/>
            <w:hideMark/>
          </w:tcPr>
          <w:p w14:paraId="584A0F9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C43F72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66E8C4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08879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4457E3F"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519,301 </w:t>
            </w:r>
          </w:p>
        </w:tc>
      </w:tr>
      <w:tr w:rsidR="00E664C6" w:rsidRPr="00E664C6" w14:paraId="18F08520"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C9F981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42</w:t>
            </w:r>
          </w:p>
        </w:tc>
        <w:tc>
          <w:tcPr>
            <w:tcW w:w="960" w:type="dxa"/>
            <w:tcBorders>
              <w:top w:val="nil"/>
              <w:left w:val="nil"/>
              <w:bottom w:val="single" w:sz="4" w:space="0" w:color="auto"/>
              <w:right w:val="single" w:sz="4" w:space="0" w:color="auto"/>
            </w:tcBorders>
            <w:shd w:val="clear" w:color="auto" w:fill="auto"/>
            <w:noWrap/>
            <w:vAlign w:val="bottom"/>
            <w:hideMark/>
          </w:tcPr>
          <w:p w14:paraId="51995F2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w:t>
            </w:r>
          </w:p>
        </w:tc>
        <w:tc>
          <w:tcPr>
            <w:tcW w:w="960" w:type="dxa"/>
            <w:tcBorders>
              <w:top w:val="nil"/>
              <w:left w:val="nil"/>
              <w:bottom w:val="single" w:sz="4" w:space="0" w:color="auto"/>
              <w:right w:val="single" w:sz="4" w:space="0" w:color="auto"/>
            </w:tcBorders>
            <w:shd w:val="clear" w:color="auto" w:fill="auto"/>
            <w:noWrap/>
            <w:vAlign w:val="bottom"/>
            <w:hideMark/>
          </w:tcPr>
          <w:p w14:paraId="03E41DA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55</w:t>
            </w:r>
          </w:p>
        </w:tc>
        <w:tc>
          <w:tcPr>
            <w:tcW w:w="960" w:type="dxa"/>
            <w:tcBorders>
              <w:top w:val="nil"/>
              <w:left w:val="nil"/>
              <w:bottom w:val="single" w:sz="4" w:space="0" w:color="auto"/>
              <w:right w:val="single" w:sz="4" w:space="0" w:color="auto"/>
            </w:tcBorders>
            <w:shd w:val="clear" w:color="auto" w:fill="auto"/>
            <w:noWrap/>
            <w:vAlign w:val="bottom"/>
            <w:hideMark/>
          </w:tcPr>
          <w:p w14:paraId="615187B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FD1978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6B0156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C30E83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B48F51F"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130,567 </w:t>
            </w:r>
          </w:p>
        </w:tc>
      </w:tr>
      <w:tr w:rsidR="00E664C6" w:rsidRPr="00E664C6" w14:paraId="37C5785A"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E2FCE7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43</w:t>
            </w:r>
          </w:p>
        </w:tc>
        <w:tc>
          <w:tcPr>
            <w:tcW w:w="960" w:type="dxa"/>
            <w:tcBorders>
              <w:top w:val="nil"/>
              <w:left w:val="nil"/>
              <w:bottom w:val="single" w:sz="4" w:space="0" w:color="auto"/>
              <w:right w:val="single" w:sz="4" w:space="0" w:color="auto"/>
            </w:tcBorders>
            <w:shd w:val="clear" w:color="auto" w:fill="auto"/>
            <w:noWrap/>
            <w:vAlign w:val="bottom"/>
            <w:hideMark/>
          </w:tcPr>
          <w:p w14:paraId="6B1009F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615B09B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85</w:t>
            </w:r>
          </w:p>
        </w:tc>
        <w:tc>
          <w:tcPr>
            <w:tcW w:w="960" w:type="dxa"/>
            <w:tcBorders>
              <w:top w:val="nil"/>
              <w:left w:val="nil"/>
              <w:bottom w:val="single" w:sz="4" w:space="0" w:color="auto"/>
              <w:right w:val="single" w:sz="4" w:space="0" w:color="auto"/>
            </w:tcBorders>
            <w:shd w:val="clear" w:color="auto" w:fill="auto"/>
            <w:noWrap/>
            <w:vAlign w:val="bottom"/>
            <w:hideMark/>
          </w:tcPr>
          <w:p w14:paraId="7C8FB7B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308807A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D9B5F2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C9F075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BE91487"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420,387 </w:t>
            </w:r>
          </w:p>
        </w:tc>
      </w:tr>
      <w:tr w:rsidR="00E664C6" w:rsidRPr="00E664C6" w14:paraId="18D58B68"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DA6F18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44</w:t>
            </w:r>
          </w:p>
        </w:tc>
        <w:tc>
          <w:tcPr>
            <w:tcW w:w="960" w:type="dxa"/>
            <w:tcBorders>
              <w:top w:val="nil"/>
              <w:left w:val="nil"/>
              <w:bottom w:val="single" w:sz="4" w:space="0" w:color="auto"/>
              <w:right w:val="single" w:sz="4" w:space="0" w:color="auto"/>
            </w:tcBorders>
            <w:shd w:val="clear" w:color="auto" w:fill="auto"/>
            <w:noWrap/>
            <w:vAlign w:val="bottom"/>
            <w:hideMark/>
          </w:tcPr>
          <w:p w14:paraId="788CCA4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4C38871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150</w:t>
            </w:r>
          </w:p>
        </w:tc>
        <w:tc>
          <w:tcPr>
            <w:tcW w:w="960" w:type="dxa"/>
            <w:tcBorders>
              <w:top w:val="nil"/>
              <w:left w:val="nil"/>
              <w:bottom w:val="single" w:sz="4" w:space="0" w:color="auto"/>
              <w:right w:val="single" w:sz="4" w:space="0" w:color="auto"/>
            </w:tcBorders>
            <w:shd w:val="clear" w:color="auto" w:fill="auto"/>
            <w:noWrap/>
            <w:vAlign w:val="bottom"/>
            <w:hideMark/>
          </w:tcPr>
          <w:p w14:paraId="2FA2747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65AB22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07243F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A6FA0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12D1E1F1"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741,859 </w:t>
            </w:r>
          </w:p>
        </w:tc>
      </w:tr>
      <w:tr w:rsidR="00E664C6" w:rsidRPr="00E664C6" w14:paraId="6238E174"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351D8B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45</w:t>
            </w:r>
          </w:p>
        </w:tc>
        <w:tc>
          <w:tcPr>
            <w:tcW w:w="960" w:type="dxa"/>
            <w:tcBorders>
              <w:top w:val="nil"/>
              <w:left w:val="nil"/>
              <w:bottom w:val="single" w:sz="4" w:space="0" w:color="auto"/>
              <w:right w:val="single" w:sz="4" w:space="0" w:color="auto"/>
            </w:tcBorders>
            <w:shd w:val="clear" w:color="auto" w:fill="auto"/>
            <w:noWrap/>
            <w:vAlign w:val="bottom"/>
            <w:hideMark/>
          </w:tcPr>
          <w:p w14:paraId="05F4C13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19A482A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190</w:t>
            </w:r>
          </w:p>
        </w:tc>
        <w:tc>
          <w:tcPr>
            <w:tcW w:w="960" w:type="dxa"/>
            <w:tcBorders>
              <w:top w:val="nil"/>
              <w:left w:val="nil"/>
              <w:bottom w:val="single" w:sz="4" w:space="0" w:color="auto"/>
              <w:right w:val="single" w:sz="4" w:space="0" w:color="auto"/>
            </w:tcBorders>
            <w:shd w:val="clear" w:color="auto" w:fill="auto"/>
            <w:noWrap/>
            <w:vAlign w:val="bottom"/>
            <w:hideMark/>
          </w:tcPr>
          <w:p w14:paraId="5734A17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9246FC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25E0518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9A458A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20EA93E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939,688 </w:t>
            </w:r>
          </w:p>
        </w:tc>
      </w:tr>
      <w:tr w:rsidR="00E664C6" w:rsidRPr="00E664C6" w14:paraId="48E50A98"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B2E057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46</w:t>
            </w:r>
          </w:p>
        </w:tc>
        <w:tc>
          <w:tcPr>
            <w:tcW w:w="960" w:type="dxa"/>
            <w:tcBorders>
              <w:top w:val="nil"/>
              <w:left w:val="nil"/>
              <w:bottom w:val="single" w:sz="4" w:space="0" w:color="auto"/>
              <w:right w:val="single" w:sz="4" w:space="0" w:color="auto"/>
            </w:tcBorders>
            <w:shd w:val="clear" w:color="auto" w:fill="auto"/>
            <w:noWrap/>
            <w:vAlign w:val="bottom"/>
            <w:hideMark/>
          </w:tcPr>
          <w:p w14:paraId="6F95914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57F26CB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150</w:t>
            </w:r>
          </w:p>
        </w:tc>
        <w:tc>
          <w:tcPr>
            <w:tcW w:w="960" w:type="dxa"/>
            <w:tcBorders>
              <w:top w:val="nil"/>
              <w:left w:val="nil"/>
              <w:bottom w:val="single" w:sz="4" w:space="0" w:color="auto"/>
              <w:right w:val="single" w:sz="4" w:space="0" w:color="auto"/>
            </w:tcBorders>
            <w:shd w:val="clear" w:color="auto" w:fill="auto"/>
            <w:noWrap/>
            <w:vAlign w:val="bottom"/>
            <w:hideMark/>
          </w:tcPr>
          <w:p w14:paraId="0A40825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7D60F3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A136EC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68CA28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0C44DD2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741,859 </w:t>
            </w:r>
          </w:p>
        </w:tc>
      </w:tr>
      <w:tr w:rsidR="00E664C6" w:rsidRPr="00E664C6" w14:paraId="4868A16E"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5D4328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47</w:t>
            </w:r>
          </w:p>
        </w:tc>
        <w:tc>
          <w:tcPr>
            <w:tcW w:w="960" w:type="dxa"/>
            <w:tcBorders>
              <w:top w:val="nil"/>
              <w:left w:val="nil"/>
              <w:bottom w:val="single" w:sz="4" w:space="0" w:color="auto"/>
              <w:right w:val="single" w:sz="4" w:space="0" w:color="auto"/>
            </w:tcBorders>
            <w:shd w:val="clear" w:color="auto" w:fill="auto"/>
            <w:noWrap/>
            <w:vAlign w:val="bottom"/>
            <w:hideMark/>
          </w:tcPr>
          <w:p w14:paraId="08A224B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4F66DCD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85</w:t>
            </w:r>
          </w:p>
        </w:tc>
        <w:tc>
          <w:tcPr>
            <w:tcW w:w="960" w:type="dxa"/>
            <w:tcBorders>
              <w:top w:val="nil"/>
              <w:left w:val="nil"/>
              <w:bottom w:val="single" w:sz="4" w:space="0" w:color="auto"/>
              <w:right w:val="single" w:sz="4" w:space="0" w:color="auto"/>
            </w:tcBorders>
            <w:shd w:val="clear" w:color="auto" w:fill="auto"/>
            <w:noWrap/>
            <w:vAlign w:val="bottom"/>
            <w:hideMark/>
          </w:tcPr>
          <w:p w14:paraId="3832061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2202A6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7074B9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DEAE2A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705E680"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420,387 </w:t>
            </w:r>
          </w:p>
        </w:tc>
      </w:tr>
      <w:tr w:rsidR="00E664C6" w:rsidRPr="00E664C6" w14:paraId="6E975BAB"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105C62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48</w:t>
            </w:r>
          </w:p>
        </w:tc>
        <w:tc>
          <w:tcPr>
            <w:tcW w:w="960" w:type="dxa"/>
            <w:tcBorders>
              <w:top w:val="nil"/>
              <w:left w:val="nil"/>
              <w:bottom w:val="single" w:sz="4" w:space="0" w:color="auto"/>
              <w:right w:val="single" w:sz="4" w:space="0" w:color="auto"/>
            </w:tcBorders>
            <w:shd w:val="clear" w:color="auto" w:fill="auto"/>
            <w:noWrap/>
            <w:vAlign w:val="bottom"/>
            <w:hideMark/>
          </w:tcPr>
          <w:p w14:paraId="058F0A0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5B7F816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60</w:t>
            </w:r>
          </w:p>
        </w:tc>
        <w:tc>
          <w:tcPr>
            <w:tcW w:w="960" w:type="dxa"/>
            <w:tcBorders>
              <w:top w:val="nil"/>
              <w:left w:val="nil"/>
              <w:bottom w:val="single" w:sz="4" w:space="0" w:color="auto"/>
              <w:right w:val="single" w:sz="4" w:space="0" w:color="auto"/>
            </w:tcBorders>
            <w:shd w:val="clear" w:color="auto" w:fill="auto"/>
            <w:noWrap/>
            <w:vAlign w:val="bottom"/>
            <w:hideMark/>
          </w:tcPr>
          <w:p w14:paraId="45936F3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441E1F9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2AECDC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71A2B8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204D61F"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148,372 </w:t>
            </w:r>
          </w:p>
        </w:tc>
      </w:tr>
      <w:tr w:rsidR="00E664C6" w:rsidRPr="00E664C6" w14:paraId="7AEAADB3"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FA4AB5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49</w:t>
            </w:r>
          </w:p>
        </w:tc>
        <w:tc>
          <w:tcPr>
            <w:tcW w:w="960" w:type="dxa"/>
            <w:tcBorders>
              <w:top w:val="nil"/>
              <w:left w:val="nil"/>
              <w:bottom w:val="single" w:sz="4" w:space="0" w:color="auto"/>
              <w:right w:val="single" w:sz="4" w:space="0" w:color="auto"/>
            </w:tcBorders>
            <w:shd w:val="clear" w:color="auto" w:fill="auto"/>
            <w:noWrap/>
            <w:vAlign w:val="bottom"/>
            <w:hideMark/>
          </w:tcPr>
          <w:p w14:paraId="2B4E7BD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7CF14F9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5086B94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B7DE06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0715ED6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F41BED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8442FCD"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370,929 </w:t>
            </w:r>
          </w:p>
        </w:tc>
      </w:tr>
      <w:tr w:rsidR="00E664C6" w:rsidRPr="00E664C6" w14:paraId="2ACD82C3"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816B14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50</w:t>
            </w:r>
          </w:p>
        </w:tc>
        <w:tc>
          <w:tcPr>
            <w:tcW w:w="960" w:type="dxa"/>
            <w:tcBorders>
              <w:top w:val="nil"/>
              <w:left w:val="nil"/>
              <w:bottom w:val="single" w:sz="4" w:space="0" w:color="auto"/>
              <w:right w:val="single" w:sz="4" w:space="0" w:color="auto"/>
            </w:tcBorders>
            <w:shd w:val="clear" w:color="auto" w:fill="auto"/>
            <w:noWrap/>
            <w:vAlign w:val="bottom"/>
            <w:hideMark/>
          </w:tcPr>
          <w:p w14:paraId="399ABC9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0041CC9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130</w:t>
            </w:r>
          </w:p>
        </w:tc>
        <w:tc>
          <w:tcPr>
            <w:tcW w:w="960" w:type="dxa"/>
            <w:tcBorders>
              <w:top w:val="nil"/>
              <w:left w:val="nil"/>
              <w:bottom w:val="single" w:sz="4" w:space="0" w:color="auto"/>
              <w:right w:val="single" w:sz="4" w:space="0" w:color="auto"/>
            </w:tcBorders>
            <w:shd w:val="clear" w:color="auto" w:fill="auto"/>
            <w:noWrap/>
            <w:vAlign w:val="bottom"/>
            <w:hideMark/>
          </w:tcPr>
          <w:p w14:paraId="7753821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9B3A5F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BF3FB7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03815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385B069"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642,944 </w:t>
            </w:r>
          </w:p>
        </w:tc>
      </w:tr>
      <w:tr w:rsidR="00E664C6" w:rsidRPr="00E664C6" w14:paraId="70EF0847"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91E4BC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51</w:t>
            </w:r>
          </w:p>
        </w:tc>
        <w:tc>
          <w:tcPr>
            <w:tcW w:w="960" w:type="dxa"/>
            <w:tcBorders>
              <w:top w:val="nil"/>
              <w:left w:val="nil"/>
              <w:bottom w:val="single" w:sz="4" w:space="0" w:color="auto"/>
              <w:right w:val="single" w:sz="4" w:space="0" w:color="auto"/>
            </w:tcBorders>
            <w:shd w:val="clear" w:color="auto" w:fill="auto"/>
            <w:noWrap/>
            <w:vAlign w:val="bottom"/>
            <w:hideMark/>
          </w:tcPr>
          <w:p w14:paraId="0A4E027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6DC040C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195</w:t>
            </w:r>
          </w:p>
        </w:tc>
        <w:tc>
          <w:tcPr>
            <w:tcW w:w="960" w:type="dxa"/>
            <w:tcBorders>
              <w:top w:val="nil"/>
              <w:left w:val="nil"/>
              <w:bottom w:val="single" w:sz="4" w:space="0" w:color="auto"/>
              <w:right w:val="single" w:sz="4" w:space="0" w:color="auto"/>
            </w:tcBorders>
            <w:shd w:val="clear" w:color="auto" w:fill="auto"/>
            <w:noWrap/>
            <w:vAlign w:val="bottom"/>
            <w:hideMark/>
          </w:tcPr>
          <w:p w14:paraId="0382E89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020D25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631973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82E36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35A0E9A"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964,416 </w:t>
            </w:r>
          </w:p>
        </w:tc>
      </w:tr>
      <w:tr w:rsidR="00E664C6" w:rsidRPr="00E664C6" w14:paraId="7C1E8BEE"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D1D7FE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52</w:t>
            </w:r>
          </w:p>
        </w:tc>
        <w:tc>
          <w:tcPr>
            <w:tcW w:w="960" w:type="dxa"/>
            <w:tcBorders>
              <w:top w:val="nil"/>
              <w:left w:val="nil"/>
              <w:bottom w:val="single" w:sz="4" w:space="0" w:color="auto"/>
              <w:right w:val="single" w:sz="4" w:space="0" w:color="auto"/>
            </w:tcBorders>
            <w:shd w:val="clear" w:color="auto" w:fill="auto"/>
            <w:noWrap/>
            <w:vAlign w:val="bottom"/>
            <w:hideMark/>
          </w:tcPr>
          <w:p w14:paraId="0FC1BC4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1660E27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150</w:t>
            </w:r>
          </w:p>
        </w:tc>
        <w:tc>
          <w:tcPr>
            <w:tcW w:w="960" w:type="dxa"/>
            <w:tcBorders>
              <w:top w:val="nil"/>
              <w:left w:val="nil"/>
              <w:bottom w:val="single" w:sz="4" w:space="0" w:color="auto"/>
              <w:right w:val="single" w:sz="4" w:space="0" w:color="auto"/>
            </w:tcBorders>
            <w:shd w:val="clear" w:color="auto" w:fill="auto"/>
            <w:noWrap/>
            <w:vAlign w:val="bottom"/>
            <w:hideMark/>
          </w:tcPr>
          <w:p w14:paraId="1DDB92B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B9860E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FC96EE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AF911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35E1A29"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741,859 </w:t>
            </w:r>
          </w:p>
        </w:tc>
      </w:tr>
      <w:tr w:rsidR="00E664C6" w:rsidRPr="00E664C6" w14:paraId="71736990"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AEB1F2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53</w:t>
            </w:r>
          </w:p>
        </w:tc>
        <w:tc>
          <w:tcPr>
            <w:tcW w:w="960" w:type="dxa"/>
            <w:tcBorders>
              <w:top w:val="nil"/>
              <w:left w:val="nil"/>
              <w:bottom w:val="single" w:sz="4" w:space="0" w:color="auto"/>
              <w:right w:val="single" w:sz="4" w:space="0" w:color="auto"/>
            </w:tcBorders>
            <w:shd w:val="clear" w:color="auto" w:fill="auto"/>
            <w:noWrap/>
            <w:vAlign w:val="bottom"/>
            <w:hideMark/>
          </w:tcPr>
          <w:p w14:paraId="6917C29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4F91BC8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90</w:t>
            </w:r>
          </w:p>
        </w:tc>
        <w:tc>
          <w:tcPr>
            <w:tcW w:w="960" w:type="dxa"/>
            <w:tcBorders>
              <w:top w:val="nil"/>
              <w:left w:val="nil"/>
              <w:bottom w:val="single" w:sz="4" w:space="0" w:color="auto"/>
              <w:right w:val="single" w:sz="4" w:space="0" w:color="auto"/>
            </w:tcBorders>
            <w:shd w:val="clear" w:color="auto" w:fill="auto"/>
            <w:noWrap/>
            <w:vAlign w:val="bottom"/>
            <w:hideMark/>
          </w:tcPr>
          <w:p w14:paraId="24FA696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35AB410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05EA9FD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03672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E983D46"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445,115 </w:t>
            </w:r>
          </w:p>
        </w:tc>
      </w:tr>
      <w:tr w:rsidR="00E664C6" w:rsidRPr="00E664C6" w14:paraId="13ADA7AD"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3A5AFE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54</w:t>
            </w:r>
          </w:p>
        </w:tc>
        <w:tc>
          <w:tcPr>
            <w:tcW w:w="960" w:type="dxa"/>
            <w:tcBorders>
              <w:top w:val="nil"/>
              <w:left w:val="nil"/>
              <w:bottom w:val="single" w:sz="4" w:space="0" w:color="auto"/>
              <w:right w:val="single" w:sz="4" w:space="0" w:color="auto"/>
            </w:tcBorders>
            <w:shd w:val="clear" w:color="auto" w:fill="auto"/>
            <w:noWrap/>
            <w:vAlign w:val="bottom"/>
            <w:hideMark/>
          </w:tcPr>
          <w:p w14:paraId="365ADF4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5733977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71462AF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BEBEA5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48957D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FB4C8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0AB3180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370,929 </w:t>
            </w:r>
          </w:p>
        </w:tc>
      </w:tr>
      <w:tr w:rsidR="00E664C6" w:rsidRPr="00E664C6" w14:paraId="2EB485E3"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0806573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55</w:t>
            </w:r>
          </w:p>
        </w:tc>
        <w:tc>
          <w:tcPr>
            <w:tcW w:w="960" w:type="dxa"/>
            <w:tcBorders>
              <w:top w:val="nil"/>
              <w:left w:val="nil"/>
              <w:bottom w:val="single" w:sz="4" w:space="0" w:color="auto"/>
              <w:right w:val="single" w:sz="4" w:space="0" w:color="auto"/>
            </w:tcBorders>
            <w:shd w:val="clear" w:color="auto" w:fill="auto"/>
            <w:noWrap/>
            <w:vAlign w:val="bottom"/>
            <w:hideMark/>
          </w:tcPr>
          <w:p w14:paraId="764D8C4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180ABCA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60</w:t>
            </w:r>
          </w:p>
        </w:tc>
        <w:tc>
          <w:tcPr>
            <w:tcW w:w="960" w:type="dxa"/>
            <w:tcBorders>
              <w:top w:val="nil"/>
              <w:left w:val="nil"/>
              <w:bottom w:val="single" w:sz="4" w:space="0" w:color="auto"/>
              <w:right w:val="single" w:sz="4" w:space="0" w:color="auto"/>
            </w:tcBorders>
            <w:shd w:val="clear" w:color="auto" w:fill="auto"/>
            <w:noWrap/>
            <w:vAlign w:val="bottom"/>
            <w:hideMark/>
          </w:tcPr>
          <w:p w14:paraId="6EF45C7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F8BF62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276E331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9ABEBA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37C32C4"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148,372 </w:t>
            </w:r>
          </w:p>
        </w:tc>
      </w:tr>
      <w:tr w:rsidR="00E664C6" w:rsidRPr="00E664C6" w14:paraId="35F8A21D"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E81128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56</w:t>
            </w:r>
          </w:p>
        </w:tc>
        <w:tc>
          <w:tcPr>
            <w:tcW w:w="960" w:type="dxa"/>
            <w:tcBorders>
              <w:top w:val="nil"/>
              <w:left w:val="nil"/>
              <w:bottom w:val="single" w:sz="4" w:space="0" w:color="auto"/>
              <w:right w:val="single" w:sz="4" w:space="0" w:color="auto"/>
            </w:tcBorders>
            <w:shd w:val="clear" w:color="auto" w:fill="auto"/>
            <w:noWrap/>
            <w:vAlign w:val="bottom"/>
            <w:hideMark/>
          </w:tcPr>
          <w:p w14:paraId="18B0C6A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w:t>
            </w:r>
          </w:p>
        </w:tc>
        <w:tc>
          <w:tcPr>
            <w:tcW w:w="960" w:type="dxa"/>
            <w:tcBorders>
              <w:top w:val="nil"/>
              <w:left w:val="nil"/>
              <w:bottom w:val="single" w:sz="4" w:space="0" w:color="auto"/>
              <w:right w:val="single" w:sz="4" w:space="0" w:color="auto"/>
            </w:tcBorders>
            <w:shd w:val="clear" w:color="auto" w:fill="auto"/>
            <w:noWrap/>
            <w:vAlign w:val="bottom"/>
            <w:hideMark/>
          </w:tcPr>
          <w:p w14:paraId="50C2711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60</w:t>
            </w:r>
          </w:p>
        </w:tc>
        <w:tc>
          <w:tcPr>
            <w:tcW w:w="960" w:type="dxa"/>
            <w:tcBorders>
              <w:top w:val="nil"/>
              <w:left w:val="nil"/>
              <w:bottom w:val="single" w:sz="4" w:space="0" w:color="auto"/>
              <w:right w:val="single" w:sz="4" w:space="0" w:color="auto"/>
            </w:tcBorders>
            <w:shd w:val="clear" w:color="auto" w:fill="auto"/>
            <w:noWrap/>
            <w:vAlign w:val="bottom"/>
            <w:hideMark/>
          </w:tcPr>
          <w:p w14:paraId="4E79CA4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315141A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551AC2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945CB8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059EBE56"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142,437 </w:t>
            </w:r>
          </w:p>
        </w:tc>
      </w:tr>
      <w:tr w:rsidR="00E664C6" w:rsidRPr="00E664C6" w14:paraId="7B02D902"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E70073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lastRenderedPageBreak/>
              <w:t>57</w:t>
            </w:r>
          </w:p>
        </w:tc>
        <w:tc>
          <w:tcPr>
            <w:tcW w:w="960" w:type="dxa"/>
            <w:tcBorders>
              <w:top w:val="nil"/>
              <w:left w:val="nil"/>
              <w:bottom w:val="single" w:sz="4" w:space="0" w:color="auto"/>
              <w:right w:val="single" w:sz="4" w:space="0" w:color="auto"/>
            </w:tcBorders>
            <w:shd w:val="clear" w:color="auto" w:fill="auto"/>
            <w:noWrap/>
            <w:vAlign w:val="bottom"/>
            <w:hideMark/>
          </w:tcPr>
          <w:p w14:paraId="4AD1397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579699C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80</w:t>
            </w:r>
          </w:p>
        </w:tc>
        <w:tc>
          <w:tcPr>
            <w:tcW w:w="960" w:type="dxa"/>
            <w:tcBorders>
              <w:top w:val="nil"/>
              <w:left w:val="nil"/>
              <w:bottom w:val="single" w:sz="4" w:space="0" w:color="auto"/>
              <w:right w:val="single" w:sz="4" w:space="0" w:color="auto"/>
            </w:tcBorders>
            <w:shd w:val="clear" w:color="auto" w:fill="auto"/>
            <w:noWrap/>
            <w:vAlign w:val="bottom"/>
            <w:hideMark/>
          </w:tcPr>
          <w:p w14:paraId="4796DB7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16EFC9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9DDE15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01A72F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1B94117"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395,658 </w:t>
            </w:r>
          </w:p>
        </w:tc>
      </w:tr>
      <w:tr w:rsidR="00E664C6" w:rsidRPr="00E664C6" w14:paraId="71B5DB77"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74C10C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58</w:t>
            </w:r>
          </w:p>
        </w:tc>
        <w:tc>
          <w:tcPr>
            <w:tcW w:w="960" w:type="dxa"/>
            <w:tcBorders>
              <w:top w:val="nil"/>
              <w:left w:val="nil"/>
              <w:bottom w:val="single" w:sz="4" w:space="0" w:color="auto"/>
              <w:right w:val="single" w:sz="4" w:space="0" w:color="auto"/>
            </w:tcBorders>
            <w:shd w:val="clear" w:color="auto" w:fill="auto"/>
            <w:noWrap/>
            <w:vAlign w:val="bottom"/>
            <w:hideMark/>
          </w:tcPr>
          <w:p w14:paraId="7C2C36E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4742ED8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6D9EEAB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4A07CA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BDACF7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454BB1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199BB5E"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618,216 </w:t>
            </w:r>
          </w:p>
        </w:tc>
      </w:tr>
      <w:tr w:rsidR="00E664C6" w:rsidRPr="00E664C6" w14:paraId="250BB703"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68B147A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59</w:t>
            </w:r>
          </w:p>
        </w:tc>
        <w:tc>
          <w:tcPr>
            <w:tcW w:w="960" w:type="dxa"/>
            <w:tcBorders>
              <w:top w:val="nil"/>
              <w:left w:val="nil"/>
              <w:bottom w:val="single" w:sz="4" w:space="0" w:color="auto"/>
              <w:right w:val="single" w:sz="4" w:space="0" w:color="auto"/>
            </w:tcBorders>
            <w:shd w:val="clear" w:color="auto" w:fill="auto"/>
            <w:noWrap/>
            <w:vAlign w:val="bottom"/>
            <w:hideMark/>
          </w:tcPr>
          <w:p w14:paraId="7416F9B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307764E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175</w:t>
            </w:r>
          </w:p>
        </w:tc>
        <w:tc>
          <w:tcPr>
            <w:tcW w:w="960" w:type="dxa"/>
            <w:tcBorders>
              <w:top w:val="nil"/>
              <w:left w:val="nil"/>
              <w:bottom w:val="single" w:sz="4" w:space="0" w:color="auto"/>
              <w:right w:val="single" w:sz="4" w:space="0" w:color="auto"/>
            </w:tcBorders>
            <w:shd w:val="clear" w:color="auto" w:fill="auto"/>
            <w:noWrap/>
            <w:vAlign w:val="bottom"/>
            <w:hideMark/>
          </w:tcPr>
          <w:p w14:paraId="6F6605F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37FEF89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B92C2F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84F6ED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A5B8BB6"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865,502 </w:t>
            </w:r>
          </w:p>
        </w:tc>
      </w:tr>
      <w:tr w:rsidR="00E664C6" w:rsidRPr="00E664C6" w14:paraId="3B0ECEE9"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4D78A52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60</w:t>
            </w:r>
          </w:p>
        </w:tc>
        <w:tc>
          <w:tcPr>
            <w:tcW w:w="960" w:type="dxa"/>
            <w:tcBorders>
              <w:top w:val="nil"/>
              <w:left w:val="nil"/>
              <w:bottom w:val="single" w:sz="4" w:space="0" w:color="auto"/>
              <w:right w:val="single" w:sz="4" w:space="0" w:color="auto"/>
            </w:tcBorders>
            <w:shd w:val="clear" w:color="auto" w:fill="auto"/>
            <w:noWrap/>
            <w:vAlign w:val="bottom"/>
            <w:hideMark/>
          </w:tcPr>
          <w:p w14:paraId="2865032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46364F7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110</w:t>
            </w:r>
          </w:p>
        </w:tc>
        <w:tc>
          <w:tcPr>
            <w:tcW w:w="960" w:type="dxa"/>
            <w:tcBorders>
              <w:top w:val="nil"/>
              <w:left w:val="nil"/>
              <w:bottom w:val="single" w:sz="4" w:space="0" w:color="auto"/>
              <w:right w:val="single" w:sz="4" w:space="0" w:color="auto"/>
            </w:tcBorders>
            <w:shd w:val="clear" w:color="auto" w:fill="auto"/>
            <w:noWrap/>
            <w:vAlign w:val="bottom"/>
            <w:hideMark/>
          </w:tcPr>
          <w:p w14:paraId="2C93B52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3999EEC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16A8FC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019A6D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0321999D"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544,030 </w:t>
            </w:r>
          </w:p>
        </w:tc>
      </w:tr>
      <w:tr w:rsidR="00E664C6" w:rsidRPr="00E664C6" w14:paraId="6C5E6B61"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4224A74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61</w:t>
            </w:r>
          </w:p>
        </w:tc>
        <w:tc>
          <w:tcPr>
            <w:tcW w:w="960" w:type="dxa"/>
            <w:tcBorders>
              <w:top w:val="nil"/>
              <w:left w:val="nil"/>
              <w:bottom w:val="single" w:sz="4" w:space="0" w:color="auto"/>
              <w:right w:val="single" w:sz="4" w:space="0" w:color="auto"/>
            </w:tcBorders>
            <w:shd w:val="clear" w:color="auto" w:fill="auto"/>
            <w:noWrap/>
            <w:vAlign w:val="bottom"/>
            <w:hideMark/>
          </w:tcPr>
          <w:p w14:paraId="1332F99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259E97D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80</w:t>
            </w:r>
          </w:p>
        </w:tc>
        <w:tc>
          <w:tcPr>
            <w:tcW w:w="960" w:type="dxa"/>
            <w:tcBorders>
              <w:top w:val="nil"/>
              <w:left w:val="nil"/>
              <w:bottom w:val="single" w:sz="4" w:space="0" w:color="auto"/>
              <w:right w:val="single" w:sz="4" w:space="0" w:color="auto"/>
            </w:tcBorders>
            <w:shd w:val="clear" w:color="auto" w:fill="auto"/>
            <w:noWrap/>
            <w:vAlign w:val="bottom"/>
            <w:hideMark/>
          </w:tcPr>
          <w:p w14:paraId="5033AF2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9D25C4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62B011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AD5750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9F80ED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395,658 </w:t>
            </w:r>
          </w:p>
        </w:tc>
      </w:tr>
      <w:tr w:rsidR="00E664C6" w:rsidRPr="00E664C6" w14:paraId="30A47BB6"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D4A4C3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62</w:t>
            </w:r>
          </w:p>
        </w:tc>
        <w:tc>
          <w:tcPr>
            <w:tcW w:w="960" w:type="dxa"/>
            <w:tcBorders>
              <w:top w:val="nil"/>
              <w:left w:val="nil"/>
              <w:bottom w:val="single" w:sz="4" w:space="0" w:color="auto"/>
              <w:right w:val="single" w:sz="4" w:space="0" w:color="auto"/>
            </w:tcBorders>
            <w:shd w:val="clear" w:color="auto" w:fill="auto"/>
            <w:noWrap/>
            <w:vAlign w:val="bottom"/>
            <w:hideMark/>
          </w:tcPr>
          <w:p w14:paraId="2659D9A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5FFEC9A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65</w:t>
            </w:r>
          </w:p>
        </w:tc>
        <w:tc>
          <w:tcPr>
            <w:tcW w:w="960" w:type="dxa"/>
            <w:tcBorders>
              <w:top w:val="nil"/>
              <w:left w:val="nil"/>
              <w:bottom w:val="single" w:sz="4" w:space="0" w:color="auto"/>
              <w:right w:val="single" w:sz="4" w:space="0" w:color="auto"/>
            </w:tcBorders>
            <w:shd w:val="clear" w:color="auto" w:fill="auto"/>
            <w:noWrap/>
            <w:vAlign w:val="bottom"/>
            <w:hideMark/>
          </w:tcPr>
          <w:p w14:paraId="4C8A250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ABAEA2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FB518D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1866E3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1D3FB8E2"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321,472 </w:t>
            </w:r>
          </w:p>
        </w:tc>
      </w:tr>
      <w:tr w:rsidR="00E664C6" w:rsidRPr="00E664C6" w14:paraId="16B9B582"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12AD0A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63</w:t>
            </w:r>
          </w:p>
        </w:tc>
        <w:tc>
          <w:tcPr>
            <w:tcW w:w="960" w:type="dxa"/>
            <w:tcBorders>
              <w:top w:val="nil"/>
              <w:left w:val="nil"/>
              <w:bottom w:val="single" w:sz="4" w:space="0" w:color="auto"/>
              <w:right w:val="single" w:sz="4" w:space="0" w:color="auto"/>
            </w:tcBorders>
            <w:shd w:val="clear" w:color="auto" w:fill="auto"/>
            <w:noWrap/>
            <w:vAlign w:val="bottom"/>
            <w:hideMark/>
          </w:tcPr>
          <w:p w14:paraId="52930BC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6E373AC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65</w:t>
            </w:r>
          </w:p>
        </w:tc>
        <w:tc>
          <w:tcPr>
            <w:tcW w:w="960" w:type="dxa"/>
            <w:tcBorders>
              <w:top w:val="nil"/>
              <w:left w:val="nil"/>
              <w:bottom w:val="single" w:sz="4" w:space="0" w:color="auto"/>
              <w:right w:val="single" w:sz="4" w:space="0" w:color="auto"/>
            </w:tcBorders>
            <w:shd w:val="clear" w:color="auto" w:fill="auto"/>
            <w:noWrap/>
            <w:vAlign w:val="bottom"/>
            <w:hideMark/>
          </w:tcPr>
          <w:p w14:paraId="57D6BAE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3CD559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759264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21E098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25610997"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160,736 </w:t>
            </w:r>
          </w:p>
        </w:tc>
      </w:tr>
      <w:tr w:rsidR="00E664C6" w:rsidRPr="00E664C6" w14:paraId="2318BE17"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6D74F2E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64</w:t>
            </w:r>
          </w:p>
        </w:tc>
        <w:tc>
          <w:tcPr>
            <w:tcW w:w="960" w:type="dxa"/>
            <w:tcBorders>
              <w:top w:val="nil"/>
              <w:left w:val="nil"/>
              <w:bottom w:val="single" w:sz="4" w:space="0" w:color="auto"/>
              <w:right w:val="single" w:sz="4" w:space="0" w:color="auto"/>
            </w:tcBorders>
            <w:shd w:val="clear" w:color="auto" w:fill="auto"/>
            <w:noWrap/>
            <w:vAlign w:val="bottom"/>
            <w:hideMark/>
          </w:tcPr>
          <w:p w14:paraId="3A98388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7CBC6E9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100</w:t>
            </w:r>
          </w:p>
        </w:tc>
        <w:tc>
          <w:tcPr>
            <w:tcW w:w="960" w:type="dxa"/>
            <w:tcBorders>
              <w:top w:val="nil"/>
              <w:left w:val="nil"/>
              <w:bottom w:val="single" w:sz="4" w:space="0" w:color="auto"/>
              <w:right w:val="single" w:sz="4" w:space="0" w:color="auto"/>
            </w:tcBorders>
            <w:shd w:val="clear" w:color="auto" w:fill="auto"/>
            <w:noWrap/>
            <w:vAlign w:val="bottom"/>
            <w:hideMark/>
          </w:tcPr>
          <w:p w14:paraId="63EAE2B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4508036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F779BD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AA1CED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C88B1C5"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494,573 </w:t>
            </w:r>
          </w:p>
        </w:tc>
      </w:tr>
      <w:tr w:rsidR="00E664C6" w:rsidRPr="00E664C6" w14:paraId="4563EC5C"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0741450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65</w:t>
            </w:r>
          </w:p>
        </w:tc>
        <w:tc>
          <w:tcPr>
            <w:tcW w:w="960" w:type="dxa"/>
            <w:tcBorders>
              <w:top w:val="nil"/>
              <w:left w:val="nil"/>
              <w:bottom w:val="single" w:sz="4" w:space="0" w:color="auto"/>
              <w:right w:val="single" w:sz="4" w:space="0" w:color="auto"/>
            </w:tcBorders>
            <w:shd w:val="clear" w:color="auto" w:fill="auto"/>
            <w:noWrap/>
            <w:vAlign w:val="bottom"/>
            <w:hideMark/>
          </w:tcPr>
          <w:p w14:paraId="6E01309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3EB2336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175</w:t>
            </w:r>
          </w:p>
        </w:tc>
        <w:tc>
          <w:tcPr>
            <w:tcW w:w="960" w:type="dxa"/>
            <w:tcBorders>
              <w:top w:val="nil"/>
              <w:left w:val="nil"/>
              <w:bottom w:val="single" w:sz="4" w:space="0" w:color="auto"/>
              <w:right w:val="single" w:sz="4" w:space="0" w:color="auto"/>
            </w:tcBorders>
            <w:shd w:val="clear" w:color="auto" w:fill="auto"/>
            <w:noWrap/>
            <w:vAlign w:val="bottom"/>
            <w:hideMark/>
          </w:tcPr>
          <w:p w14:paraId="5569C2F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569567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5262FA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FEE42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21834E6A"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865,502 </w:t>
            </w:r>
          </w:p>
        </w:tc>
      </w:tr>
      <w:tr w:rsidR="00E664C6" w:rsidRPr="00E664C6" w14:paraId="54280CF8"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56F539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66</w:t>
            </w:r>
          </w:p>
        </w:tc>
        <w:tc>
          <w:tcPr>
            <w:tcW w:w="960" w:type="dxa"/>
            <w:tcBorders>
              <w:top w:val="nil"/>
              <w:left w:val="nil"/>
              <w:bottom w:val="single" w:sz="4" w:space="0" w:color="auto"/>
              <w:right w:val="single" w:sz="4" w:space="0" w:color="auto"/>
            </w:tcBorders>
            <w:shd w:val="clear" w:color="auto" w:fill="auto"/>
            <w:noWrap/>
            <w:vAlign w:val="bottom"/>
            <w:hideMark/>
          </w:tcPr>
          <w:p w14:paraId="3AE5F33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22AF488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135</w:t>
            </w:r>
          </w:p>
        </w:tc>
        <w:tc>
          <w:tcPr>
            <w:tcW w:w="960" w:type="dxa"/>
            <w:tcBorders>
              <w:top w:val="nil"/>
              <w:left w:val="nil"/>
              <w:bottom w:val="single" w:sz="4" w:space="0" w:color="auto"/>
              <w:right w:val="single" w:sz="4" w:space="0" w:color="auto"/>
            </w:tcBorders>
            <w:shd w:val="clear" w:color="auto" w:fill="auto"/>
            <w:noWrap/>
            <w:vAlign w:val="bottom"/>
            <w:hideMark/>
          </w:tcPr>
          <w:p w14:paraId="397E904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4771CBD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3A594A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243ADB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96B4AF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667,673 </w:t>
            </w:r>
          </w:p>
        </w:tc>
      </w:tr>
      <w:tr w:rsidR="00E664C6" w:rsidRPr="00E664C6" w14:paraId="7F43F643"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F86701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67</w:t>
            </w:r>
          </w:p>
        </w:tc>
        <w:tc>
          <w:tcPr>
            <w:tcW w:w="960" w:type="dxa"/>
            <w:tcBorders>
              <w:top w:val="nil"/>
              <w:left w:val="nil"/>
              <w:bottom w:val="single" w:sz="4" w:space="0" w:color="auto"/>
              <w:right w:val="single" w:sz="4" w:space="0" w:color="auto"/>
            </w:tcBorders>
            <w:shd w:val="clear" w:color="auto" w:fill="auto"/>
            <w:noWrap/>
            <w:vAlign w:val="bottom"/>
            <w:hideMark/>
          </w:tcPr>
          <w:p w14:paraId="0388099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14E3AAE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80</w:t>
            </w:r>
          </w:p>
        </w:tc>
        <w:tc>
          <w:tcPr>
            <w:tcW w:w="960" w:type="dxa"/>
            <w:tcBorders>
              <w:top w:val="nil"/>
              <w:left w:val="nil"/>
              <w:bottom w:val="single" w:sz="4" w:space="0" w:color="auto"/>
              <w:right w:val="single" w:sz="4" w:space="0" w:color="auto"/>
            </w:tcBorders>
            <w:shd w:val="clear" w:color="auto" w:fill="auto"/>
            <w:noWrap/>
            <w:vAlign w:val="bottom"/>
            <w:hideMark/>
          </w:tcPr>
          <w:p w14:paraId="7D207F1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2B7818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34F0BD2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29497D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9911E4A"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395,658 </w:t>
            </w:r>
          </w:p>
        </w:tc>
      </w:tr>
      <w:tr w:rsidR="00E664C6" w:rsidRPr="00E664C6" w14:paraId="2F336668"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6D4B726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68</w:t>
            </w:r>
          </w:p>
        </w:tc>
        <w:tc>
          <w:tcPr>
            <w:tcW w:w="960" w:type="dxa"/>
            <w:tcBorders>
              <w:top w:val="nil"/>
              <w:left w:val="nil"/>
              <w:bottom w:val="single" w:sz="4" w:space="0" w:color="auto"/>
              <w:right w:val="single" w:sz="4" w:space="0" w:color="auto"/>
            </w:tcBorders>
            <w:shd w:val="clear" w:color="auto" w:fill="auto"/>
            <w:noWrap/>
            <w:vAlign w:val="bottom"/>
            <w:hideMark/>
          </w:tcPr>
          <w:p w14:paraId="0271DD2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653EBA8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65</w:t>
            </w:r>
          </w:p>
        </w:tc>
        <w:tc>
          <w:tcPr>
            <w:tcW w:w="960" w:type="dxa"/>
            <w:tcBorders>
              <w:top w:val="nil"/>
              <w:left w:val="nil"/>
              <w:bottom w:val="single" w:sz="4" w:space="0" w:color="auto"/>
              <w:right w:val="single" w:sz="4" w:space="0" w:color="auto"/>
            </w:tcBorders>
            <w:shd w:val="clear" w:color="auto" w:fill="auto"/>
            <w:noWrap/>
            <w:vAlign w:val="bottom"/>
            <w:hideMark/>
          </w:tcPr>
          <w:p w14:paraId="328682D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D5672F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2885F13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58358F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0AF9E0D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321,472 </w:t>
            </w:r>
          </w:p>
        </w:tc>
      </w:tr>
      <w:tr w:rsidR="00E664C6" w:rsidRPr="00E664C6" w14:paraId="7091A6A0"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61EC768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69</w:t>
            </w:r>
          </w:p>
        </w:tc>
        <w:tc>
          <w:tcPr>
            <w:tcW w:w="960" w:type="dxa"/>
            <w:tcBorders>
              <w:top w:val="nil"/>
              <w:left w:val="nil"/>
              <w:bottom w:val="single" w:sz="4" w:space="0" w:color="auto"/>
              <w:right w:val="single" w:sz="4" w:space="0" w:color="auto"/>
            </w:tcBorders>
            <w:shd w:val="clear" w:color="auto" w:fill="auto"/>
            <w:noWrap/>
            <w:vAlign w:val="bottom"/>
            <w:hideMark/>
          </w:tcPr>
          <w:p w14:paraId="478AFAB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39C1461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46AB247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EA1EA7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4AC311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E42E1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8C960C1"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370,929 </w:t>
            </w:r>
          </w:p>
        </w:tc>
      </w:tr>
      <w:tr w:rsidR="00E664C6" w:rsidRPr="00E664C6" w14:paraId="1A0B3105"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EB2322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70</w:t>
            </w:r>
          </w:p>
        </w:tc>
        <w:tc>
          <w:tcPr>
            <w:tcW w:w="960" w:type="dxa"/>
            <w:tcBorders>
              <w:top w:val="nil"/>
              <w:left w:val="nil"/>
              <w:bottom w:val="single" w:sz="4" w:space="0" w:color="auto"/>
              <w:right w:val="single" w:sz="4" w:space="0" w:color="auto"/>
            </w:tcBorders>
            <w:shd w:val="clear" w:color="auto" w:fill="auto"/>
            <w:noWrap/>
            <w:vAlign w:val="bottom"/>
            <w:hideMark/>
          </w:tcPr>
          <w:p w14:paraId="353AB68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2879CB1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100</w:t>
            </w:r>
          </w:p>
        </w:tc>
        <w:tc>
          <w:tcPr>
            <w:tcW w:w="960" w:type="dxa"/>
            <w:tcBorders>
              <w:top w:val="nil"/>
              <w:left w:val="nil"/>
              <w:bottom w:val="single" w:sz="4" w:space="0" w:color="auto"/>
              <w:right w:val="single" w:sz="4" w:space="0" w:color="auto"/>
            </w:tcBorders>
            <w:shd w:val="clear" w:color="auto" w:fill="auto"/>
            <w:noWrap/>
            <w:vAlign w:val="bottom"/>
            <w:hideMark/>
          </w:tcPr>
          <w:p w14:paraId="636FF31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8CE724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030215D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20C6DA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1D6D737"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494,573 </w:t>
            </w:r>
          </w:p>
        </w:tc>
      </w:tr>
      <w:tr w:rsidR="00E664C6" w:rsidRPr="00E664C6" w14:paraId="4EDE81F0"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A64490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71</w:t>
            </w:r>
          </w:p>
        </w:tc>
        <w:tc>
          <w:tcPr>
            <w:tcW w:w="960" w:type="dxa"/>
            <w:tcBorders>
              <w:top w:val="nil"/>
              <w:left w:val="nil"/>
              <w:bottom w:val="single" w:sz="4" w:space="0" w:color="auto"/>
              <w:right w:val="single" w:sz="4" w:space="0" w:color="auto"/>
            </w:tcBorders>
            <w:shd w:val="clear" w:color="auto" w:fill="auto"/>
            <w:noWrap/>
            <w:vAlign w:val="bottom"/>
            <w:hideMark/>
          </w:tcPr>
          <w:p w14:paraId="34539FC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0725CBF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135</w:t>
            </w:r>
          </w:p>
        </w:tc>
        <w:tc>
          <w:tcPr>
            <w:tcW w:w="960" w:type="dxa"/>
            <w:tcBorders>
              <w:top w:val="nil"/>
              <w:left w:val="nil"/>
              <w:bottom w:val="single" w:sz="4" w:space="0" w:color="auto"/>
              <w:right w:val="single" w:sz="4" w:space="0" w:color="auto"/>
            </w:tcBorders>
            <w:shd w:val="clear" w:color="auto" w:fill="auto"/>
            <w:noWrap/>
            <w:vAlign w:val="bottom"/>
            <w:hideMark/>
          </w:tcPr>
          <w:p w14:paraId="500EBCC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06D671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019227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F4D11A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0AAAA091"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667,673 </w:t>
            </w:r>
          </w:p>
        </w:tc>
      </w:tr>
      <w:tr w:rsidR="00E664C6" w:rsidRPr="00E664C6" w14:paraId="682AB43A"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492BB4E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72</w:t>
            </w:r>
          </w:p>
        </w:tc>
        <w:tc>
          <w:tcPr>
            <w:tcW w:w="960" w:type="dxa"/>
            <w:tcBorders>
              <w:top w:val="nil"/>
              <w:left w:val="nil"/>
              <w:bottom w:val="single" w:sz="4" w:space="0" w:color="auto"/>
              <w:right w:val="single" w:sz="4" w:space="0" w:color="auto"/>
            </w:tcBorders>
            <w:shd w:val="clear" w:color="auto" w:fill="auto"/>
            <w:noWrap/>
            <w:vAlign w:val="bottom"/>
            <w:hideMark/>
          </w:tcPr>
          <w:p w14:paraId="2CC8885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2422695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85</w:t>
            </w:r>
          </w:p>
        </w:tc>
        <w:tc>
          <w:tcPr>
            <w:tcW w:w="960" w:type="dxa"/>
            <w:tcBorders>
              <w:top w:val="nil"/>
              <w:left w:val="nil"/>
              <w:bottom w:val="single" w:sz="4" w:space="0" w:color="auto"/>
              <w:right w:val="single" w:sz="4" w:space="0" w:color="auto"/>
            </w:tcBorders>
            <w:shd w:val="clear" w:color="auto" w:fill="auto"/>
            <w:noWrap/>
            <w:vAlign w:val="bottom"/>
            <w:hideMark/>
          </w:tcPr>
          <w:p w14:paraId="572EEC6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3E2F995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31B40E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94C52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15BC1E7"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420,387 </w:t>
            </w:r>
          </w:p>
        </w:tc>
      </w:tr>
      <w:tr w:rsidR="00E664C6" w:rsidRPr="00E664C6" w14:paraId="680A84DF"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4950F1E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73</w:t>
            </w:r>
          </w:p>
        </w:tc>
        <w:tc>
          <w:tcPr>
            <w:tcW w:w="960" w:type="dxa"/>
            <w:tcBorders>
              <w:top w:val="nil"/>
              <w:left w:val="nil"/>
              <w:bottom w:val="single" w:sz="4" w:space="0" w:color="auto"/>
              <w:right w:val="single" w:sz="4" w:space="0" w:color="auto"/>
            </w:tcBorders>
            <w:shd w:val="clear" w:color="auto" w:fill="auto"/>
            <w:noWrap/>
            <w:vAlign w:val="bottom"/>
            <w:hideMark/>
          </w:tcPr>
          <w:p w14:paraId="415D2D2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2.25</w:t>
            </w:r>
          </w:p>
        </w:tc>
        <w:tc>
          <w:tcPr>
            <w:tcW w:w="960" w:type="dxa"/>
            <w:tcBorders>
              <w:top w:val="nil"/>
              <w:left w:val="nil"/>
              <w:bottom w:val="single" w:sz="4" w:space="0" w:color="auto"/>
              <w:right w:val="single" w:sz="4" w:space="0" w:color="auto"/>
            </w:tcBorders>
            <w:shd w:val="clear" w:color="auto" w:fill="auto"/>
            <w:noWrap/>
            <w:vAlign w:val="bottom"/>
            <w:hideMark/>
          </w:tcPr>
          <w:p w14:paraId="2E99B27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65</w:t>
            </w:r>
          </w:p>
        </w:tc>
        <w:tc>
          <w:tcPr>
            <w:tcW w:w="960" w:type="dxa"/>
            <w:tcBorders>
              <w:top w:val="nil"/>
              <w:left w:val="nil"/>
              <w:bottom w:val="single" w:sz="4" w:space="0" w:color="auto"/>
              <w:right w:val="single" w:sz="4" w:space="0" w:color="auto"/>
            </w:tcBorders>
            <w:shd w:val="clear" w:color="auto" w:fill="auto"/>
            <w:noWrap/>
            <w:vAlign w:val="bottom"/>
            <w:hideMark/>
          </w:tcPr>
          <w:p w14:paraId="595F764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3E48C0A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0814B2F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22B32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740B271"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289,325 </w:t>
            </w:r>
          </w:p>
        </w:tc>
      </w:tr>
      <w:tr w:rsidR="00E664C6" w:rsidRPr="00E664C6" w14:paraId="61A2576B"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698477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74</w:t>
            </w:r>
          </w:p>
        </w:tc>
        <w:tc>
          <w:tcPr>
            <w:tcW w:w="960" w:type="dxa"/>
            <w:tcBorders>
              <w:top w:val="nil"/>
              <w:left w:val="nil"/>
              <w:bottom w:val="single" w:sz="4" w:space="0" w:color="auto"/>
              <w:right w:val="single" w:sz="4" w:space="0" w:color="auto"/>
            </w:tcBorders>
            <w:shd w:val="clear" w:color="auto" w:fill="auto"/>
            <w:noWrap/>
            <w:vAlign w:val="bottom"/>
            <w:hideMark/>
          </w:tcPr>
          <w:p w14:paraId="4AFA5BA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1.75</w:t>
            </w:r>
          </w:p>
        </w:tc>
        <w:tc>
          <w:tcPr>
            <w:tcW w:w="960" w:type="dxa"/>
            <w:tcBorders>
              <w:top w:val="nil"/>
              <w:left w:val="nil"/>
              <w:bottom w:val="single" w:sz="4" w:space="0" w:color="auto"/>
              <w:right w:val="single" w:sz="4" w:space="0" w:color="auto"/>
            </w:tcBorders>
            <w:shd w:val="clear" w:color="auto" w:fill="auto"/>
            <w:noWrap/>
            <w:vAlign w:val="bottom"/>
            <w:hideMark/>
          </w:tcPr>
          <w:p w14:paraId="019ACAC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2A629F4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484E58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966014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94C272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987966A"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259,651 </w:t>
            </w:r>
          </w:p>
        </w:tc>
      </w:tr>
      <w:tr w:rsidR="00E664C6" w:rsidRPr="00E664C6" w14:paraId="3757C898"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C0087E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2B6A6F3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2D38DFE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100</w:t>
            </w:r>
          </w:p>
        </w:tc>
        <w:tc>
          <w:tcPr>
            <w:tcW w:w="960" w:type="dxa"/>
            <w:tcBorders>
              <w:top w:val="nil"/>
              <w:left w:val="nil"/>
              <w:bottom w:val="single" w:sz="4" w:space="0" w:color="auto"/>
              <w:right w:val="single" w:sz="4" w:space="0" w:color="auto"/>
            </w:tcBorders>
            <w:shd w:val="clear" w:color="auto" w:fill="auto"/>
            <w:noWrap/>
            <w:vAlign w:val="bottom"/>
            <w:hideMark/>
          </w:tcPr>
          <w:p w14:paraId="79F27BB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681947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42989D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9A23E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C5FEEC4"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494,573 </w:t>
            </w:r>
          </w:p>
        </w:tc>
      </w:tr>
      <w:tr w:rsidR="00E664C6" w:rsidRPr="00E664C6" w14:paraId="48609308"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DB73E9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76</w:t>
            </w:r>
          </w:p>
        </w:tc>
        <w:tc>
          <w:tcPr>
            <w:tcW w:w="960" w:type="dxa"/>
            <w:tcBorders>
              <w:top w:val="nil"/>
              <w:left w:val="nil"/>
              <w:bottom w:val="single" w:sz="4" w:space="0" w:color="auto"/>
              <w:right w:val="single" w:sz="4" w:space="0" w:color="auto"/>
            </w:tcBorders>
            <w:shd w:val="clear" w:color="auto" w:fill="auto"/>
            <w:noWrap/>
            <w:vAlign w:val="bottom"/>
            <w:hideMark/>
          </w:tcPr>
          <w:p w14:paraId="39E8283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1A5C13F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5976848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32C6354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8F704F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787451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B723B7A"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370,929 </w:t>
            </w:r>
          </w:p>
        </w:tc>
      </w:tr>
      <w:tr w:rsidR="00E664C6" w:rsidRPr="00E664C6" w14:paraId="74FC595C"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BF5805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w:t>
            </w:r>
          </w:p>
        </w:tc>
        <w:tc>
          <w:tcPr>
            <w:tcW w:w="960" w:type="dxa"/>
            <w:tcBorders>
              <w:top w:val="nil"/>
              <w:left w:val="nil"/>
              <w:bottom w:val="single" w:sz="4" w:space="0" w:color="auto"/>
              <w:right w:val="single" w:sz="4" w:space="0" w:color="auto"/>
            </w:tcBorders>
            <w:shd w:val="clear" w:color="auto" w:fill="auto"/>
            <w:noWrap/>
            <w:vAlign w:val="bottom"/>
            <w:hideMark/>
          </w:tcPr>
          <w:p w14:paraId="5449225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14B6EE7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95</w:t>
            </w:r>
          </w:p>
        </w:tc>
        <w:tc>
          <w:tcPr>
            <w:tcW w:w="960" w:type="dxa"/>
            <w:tcBorders>
              <w:top w:val="nil"/>
              <w:left w:val="nil"/>
              <w:bottom w:val="single" w:sz="4" w:space="0" w:color="auto"/>
              <w:right w:val="single" w:sz="4" w:space="0" w:color="auto"/>
            </w:tcBorders>
            <w:shd w:val="clear" w:color="auto" w:fill="auto"/>
            <w:noWrap/>
            <w:vAlign w:val="bottom"/>
            <w:hideMark/>
          </w:tcPr>
          <w:p w14:paraId="48E7586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E36FC9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E86491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0AFA00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C99D7E6"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469,844 </w:t>
            </w:r>
          </w:p>
        </w:tc>
      </w:tr>
      <w:tr w:rsidR="00E664C6" w:rsidRPr="00E664C6" w14:paraId="1B89DF0E"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0FFD113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78</w:t>
            </w:r>
          </w:p>
        </w:tc>
        <w:tc>
          <w:tcPr>
            <w:tcW w:w="960" w:type="dxa"/>
            <w:tcBorders>
              <w:top w:val="nil"/>
              <w:left w:val="nil"/>
              <w:bottom w:val="single" w:sz="4" w:space="0" w:color="auto"/>
              <w:right w:val="single" w:sz="4" w:space="0" w:color="auto"/>
            </w:tcBorders>
            <w:shd w:val="clear" w:color="auto" w:fill="auto"/>
            <w:noWrap/>
            <w:vAlign w:val="bottom"/>
            <w:hideMark/>
          </w:tcPr>
          <w:p w14:paraId="7A8A28F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1.75</w:t>
            </w:r>
          </w:p>
        </w:tc>
        <w:tc>
          <w:tcPr>
            <w:tcW w:w="960" w:type="dxa"/>
            <w:tcBorders>
              <w:top w:val="nil"/>
              <w:left w:val="nil"/>
              <w:bottom w:val="single" w:sz="4" w:space="0" w:color="auto"/>
              <w:right w:val="single" w:sz="4" w:space="0" w:color="auto"/>
            </w:tcBorders>
            <w:shd w:val="clear" w:color="auto" w:fill="auto"/>
            <w:noWrap/>
            <w:vAlign w:val="bottom"/>
            <w:hideMark/>
          </w:tcPr>
          <w:p w14:paraId="2151AE1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110</w:t>
            </w:r>
          </w:p>
        </w:tc>
        <w:tc>
          <w:tcPr>
            <w:tcW w:w="960" w:type="dxa"/>
            <w:tcBorders>
              <w:top w:val="nil"/>
              <w:left w:val="nil"/>
              <w:bottom w:val="single" w:sz="4" w:space="0" w:color="auto"/>
              <w:right w:val="single" w:sz="4" w:space="0" w:color="auto"/>
            </w:tcBorders>
            <w:shd w:val="clear" w:color="auto" w:fill="auto"/>
            <w:noWrap/>
            <w:vAlign w:val="bottom"/>
            <w:hideMark/>
          </w:tcPr>
          <w:p w14:paraId="558FC09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6DBD80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3AFADAA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4A34AA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772D60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380,821 </w:t>
            </w:r>
          </w:p>
        </w:tc>
      </w:tr>
      <w:tr w:rsidR="00E664C6" w:rsidRPr="00E664C6" w14:paraId="6996DD92"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33ED00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79</w:t>
            </w:r>
          </w:p>
        </w:tc>
        <w:tc>
          <w:tcPr>
            <w:tcW w:w="960" w:type="dxa"/>
            <w:tcBorders>
              <w:top w:val="nil"/>
              <w:left w:val="nil"/>
              <w:bottom w:val="single" w:sz="4" w:space="0" w:color="auto"/>
              <w:right w:val="single" w:sz="4" w:space="0" w:color="auto"/>
            </w:tcBorders>
            <w:shd w:val="clear" w:color="auto" w:fill="auto"/>
            <w:noWrap/>
            <w:vAlign w:val="bottom"/>
            <w:hideMark/>
          </w:tcPr>
          <w:p w14:paraId="6BBED83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1.875</w:t>
            </w:r>
          </w:p>
        </w:tc>
        <w:tc>
          <w:tcPr>
            <w:tcW w:w="960" w:type="dxa"/>
            <w:tcBorders>
              <w:top w:val="nil"/>
              <w:left w:val="nil"/>
              <w:bottom w:val="single" w:sz="4" w:space="0" w:color="auto"/>
              <w:right w:val="single" w:sz="4" w:space="0" w:color="auto"/>
            </w:tcBorders>
            <w:shd w:val="clear" w:color="auto" w:fill="auto"/>
            <w:noWrap/>
            <w:vAlign w:val="bottom"/>
            <w:hideMark/>
          </w:tcPr>
          <w:p w14:paraId="1379504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65</w:t>
            </w:r>
          </w:p>
        </w:tc>
        <w:tc>
          <w:tcPr>
            <w:tcW w:w="960" w:type="dxa"/>
            <w:tcBorders>
              <w:top w:val="nil"/>
              <w:left w:val="nil"/>
              <w:bottom w:val="single" w:sz="4" w:space="0" w:color="auto"/>
              <w:right w:val="single" w:sz="4" w:space="0" w:color="auto"/>
            </w:tcBorders>
            <w:shd w:val="clear" w:color="auto" w:fill="auto"/>
            <w:noWrap/>
            <w:vAlign w:val="bottom"/>
            <w:hideMark/>
          </w:tcPr>
          <w:p w14:paraId="3009AAB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DE69F5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37BD8A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331E8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12668FE"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241,104 </w:t>
            </w:r>
          </w:p>
        </w:tc>
      </w:tr>
      <w:tr w:rsidR="00E664C6" w:rsidRPr="00E664C6" w14:paraId="3ECBAE5F"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BBF094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80</w:t>
            </w:r>
          </w:p>
        </w:tc>
        <w:tc>
          <w:tcPr>
            <w:tcW w:w="960" w:type="dxa"/>
            <w:tcBorders>
              <w:top w:val="nil"/>
              <w:left w:val="nil"/>
              <w:bottom w:val="single" w:sz="4" w:space="0" w:color="auto"/>
              <w:right w:val="single" w:sz="4" w:space="0" w:color="auto"/>
            </w:tcBorders>
            <w:shd w:val="clear" w:color="auto" w:fill="auto"/>
            <w:noWrap/>
            <w:vAlign w:val="bottom"/>
            <w:hideMark/>
          </w:tcPr>
          <w:p w14:paraId="4AD3971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w:t>
            </w:r>
          </w:p>
        </w:tc>
        <w:tc>
          <w:tcPr>
            <w:tcW w:w="960" w:type="dxa"/>
            <w:tcBorders>
              <w:top w:val="nil"/>
              <w:left w:val="nil"/>
              <w:bottom w:val="single" w:sz="4" w:space="0" w:color="auto"/>
              <w:right w:val="single" w:sz="4" w:space="0" w:color="auto"/>
            </w:tcBorders>
            <w:shd w:val="clear" w:color="auto" w:fill="auto"/>
            <w:noWrap/>
            <w:vAlign w:val="bottom"/>
            <w:hideMark/>
          </w:tcPr>
          <w:p w14:paraId="32587DA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90</w:t>
            </w:r>
          </w:p>
        </w:tc>
        <w:tc>
          <w:tcPr>
            <w:tcW w:w="960" w:type="dxa"/>
            <w:tcBorders>
              <w:top w:val="nil"/>
              <w:left w:val="nil"/>
              <w:bottom w:val="single" w:sz="4" w:space="0" w:color="auto"/>
              <w:right w:val="single" w:sz="4" w:space="0" w:color="auto"/>
            </w:tcBorders>
            <w:shd w:val="clear" w:color="auto" w:fill="auto"/>
            <w:noWrap/>
            <w:vAlign w:val="bottom"/>
            <w:hideMark/>
          </w:tcPr>
          <w:p w14:paraId="07D9A59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43B292F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34BC999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25C445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8B69053"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213,655 </w:t>
            </w:r>
          </w:p>
        </w:tc>
      </w:tr>
      <w:tr w:rsidR="00E664C6" w:rsidRPr="00E664C6" w14:paraId="058B6E62"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6ED53C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81</w:t>
            </w:r>
          </w:p>
        </w:tc>
        <w:tc>
          <w:tcPr>
            <w:tcW w:w="960" w:type="dxa"/>
            <w:tcBorders>
              <w:top w:val="nil"/>
              <w:left w:val="nil"/>
              <w:bottom w:val="single" w:sz="4" w:space="0" w:color="auto"/>
              <w:right w:val="single" w:sz="4" w:space="0" w:color="auto"/>
            </w:tcBorders>
            <w:shd w:val="clear" w:color="auto" w:fill="auto"/>
            <w:noWrap/>
            <w:vAlign w:val="bottom"/>
            <w:hideMark/>
          </w:tcPr>
          <w:p w14:paraId="79B37D9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75E4E4B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150</w:t>
            </w:r>
          </w:p>
        </w:tc>
        <w:tc>
          <w:tcPr>
            <w:tcW w:w="960" w:type="dxa"/>
            <w:tcBorders>
              <w:top w:val="nil"/>
              <w:left w:val="nil"/>
              <w:bottom w:val="single" w:sz="4" w:space="0" w:color="auto"/>
              <w:right w:val="single" w:sz="4" w:space="0" w:color="auto"/>
            </w:tcBorders>
            <w:shd w:val="clear" w:color="auto" w:fill="auto"/>
            <w:noWrap/>
            <w:vAlign w:val="bottom"/>
            <w:hideMark/>
          </w:tcPr>
          <w:p w14:paraId="69270D6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A3B23C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9D87BE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117563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7536660"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741,859 </w:t>
            </w:r>
          </w:p>
        </w:tc>
      </w:tr>
      <w:tr w:rsidR="00E664C6" w:rsidRPr="00E664C6" w14:paraId="424BAA54"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116629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82</w:t>
            </w:r>
          </w:p>
        </w:tc>
        <w:tc>
          <w:tcPr>
            <w:tcW w:w="960" w:type="dxa"/>
            <w:tcBorders>
              <w:top w:val="nil"/>
              <w:left w:val="nil"/>
              <w:bottom w:val="single" w:sz="4" w:space="0" w:color="auto"/>
              <w:right w:val="single" w:sz="4" w:space="0" w:color="auto"/>
            </w:tcBorders>
            <w:shd w:val="clear" w:color="auto" w:fill="auto"/>
            <w:noWrap/>
            <w:vAlign w:val="bottom"/>
            <w:hideMark/>
          </w:tcPr>
          <w:p w14:paraId="62D1358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0EFEC9B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5F8C62B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7B4EBE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2CA4DA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114ED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1097147"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618,216 </w:t>
            </w:r>
          </w:p>
        </w:tc>
      </w:tr>
      <w:tr w:rsidR="00E664C6" w:rsidRPr="00E664C6" w14:paraId="7A4F3D18"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6BD223D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83</w:t>
            </w:r>
          </w:p>
        </w:tc>
        <w:tc>
          <w:tcPr>
            <w:tcW w:w="960" w:type="dxa"/>
            <w:tcBorders>
              <w:top w:val="nil"/>
              <w:left w:val="nil"/>
              <w:bottom w:val="single" w:sz="4" w:space="0" w:color="auto"/>
              <w:right w:val="single" w:sz="4" w:space="0" w:color="auto"/>
            </w:tcBorders>
            <w:shd w:val="clear" w:color="auto" w:fill="auto"/>
            <w:noWrap/>
            <w:vAlign w:val="bottom"/>
            <w:hideMark/>
          </w:tcPr>
          <w:p w14:paraId="77B4F7D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7494068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90</w:t>
            </w:r>
          </w:p>
        </w:tc>
        <w:tc>
          <w:tcPr>
            <w:tcW w:w="960" w:type="dxa"/>
            <w:tcBorders>
              <w:top w:val="nil"/>
              <w:left w:val="nil"/>
              <w:bottom w:val="single" w:sz="4" w:space="0" w:color="auto"/>
              <w:right w:val="single" w:sz="4" w:space="0" w:color="auto"/>
            </w:tcBorders>
            <w:shd w:val="clear" w:color="auto" w:fill="auto"/>
            <w:noWrap/>
            <w:vAlign w:val="bottom"/>
            <w:hideMark/>
          </w:tcPr>
          <w:p w14:paraId="6DCB881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3431B25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193FD3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566DF2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68AEA66"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222,558 </w:t>
            </w:r>
          </w:p>
        </w:tc>
      </w:tr>
      <w:tr w:rsidR="00E664C6" w:rsidRPr="00E664C6" w14:paraId="2CA4FB0D"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4CE7AD1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84</w:t>
            </w:r>
          </w:p>
        </w:tc>
        <w:tc>
          <w:tcPr>
            <w:tcW w:w="960" w:type="dxa"/>
            <w:tcBorders>
              <w:top w:val="nil"/>
              <w:left w:val="nil"/>
              <w:bottom w:val="single" w:sz="4" w:space="0" w:color="auto"/>
              <w:right w:val="single" w:sz="4" w:space="0" w:color="auto"/>
            </w:tcBorders>
            <w:shd w:val="clear" w:color="auto" w:fill="auto"/>
            <w:noWrap/>
            <w:vAlign w:val="bottom"/>
            <w:hideMark/>
          </w:tcPr>
          <w:p w14:paraId="6EE8306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5C96ED7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225</w:t>
            </w:r>
          </w:p>
        </w:tc>
        <w:tc>
          <w:tcPr>
            <w:tcW w:w="960" w:type="dxa"/>
            <w:tcBorders>
              <w:top w:val="nil"/>
              <w:left w:val="nil"/>
              <w:bottom w:val="single" w:sz="4" w:space="0" w:color="auto"/>
              <w:right w:val="single" w:sz="4" w:space="0" w:color="auto"/>
            </w:tcBorders>
            <w:shd w:val="clear" w:color="auto" w:fill="auto"/>
            <w:noWrap/>
            <w:vAlign w:val="bottom"/>
            <w:hideMark/>
          </w:tcPr>
          <w:p w14:paraId="251FB6B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4CB203F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44FFBD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B7E504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7D9E14B"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1,112,788 </w:t>
            </w:r>
          </w:p>
        </w:tc>
      </w:tr>
      <w:tr w:rsidR="00E664C6" w:rsidRPr="00E664C6" w14:paraId="4908EB09"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03FDE6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85</w:t>
            </w:r>
          </w:p>
        </w:tc>
        <w:tc>
          <w:tcPr>
            <w:tcW w:w="960" w:type="dxa"/>
            <w:tcBorders>
              <w:top w:val="nil"/>
              <w:left w:val="nil"/>
              <w:bottom w:val="single" w:sz="4" w:space="0" w:color="auto"/>
              <w:right w:val="single" w:sz="4" w:space="0" w:color="auto"/>
            </w:tcBorders>
            <w:shd w:val="clear" w:color="auto" w:fill="auto"/>
            <w:noWrap/>
            <w:vAlign w:val="bottom"/>
            <w:hideMark/>
          </w:tcPr>
          <w:p w14:paraId="3D44674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043B797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130</w:t>
            </w:r>
          </w:p>
        </w:tc>
        <w:tc>
          <w:tcPr>
            <w:tcW w:w="960" w:type="dxa"/>
            <w:tcBorders>
              <w:top w:val="nil"/>
              <w:left w:val="nil"/>
              <w:bottom w:val="single" w:sz="4" w:space="0" w:color="auto"/>
              <w:right w:val="single" w:sz="4" w:space="0" w:color="auto"/>
            </w:tcBorders>
            <w:shd w:val="clear" w:color="auto" w:fill="auto"/>
            <w:noWrap/>
            <w:vAlign w:val="bottom"/>
            <w:hideMark/>
          </w:tcPr>
          <w:p w14:paraId="78AFC68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A605CB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2DD1EED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9C55CF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38C50E9"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642,944 </w:t>
            </w:r>
          </w:p>
        </w:tc>
      </w:tr>
      <w:tr w:rsidR="00E664C6" w:rsidRPr="00E664C6" w14:paraId="5CC92F3D"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62DA3C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86</w:t>
            </w:r>
          </w:p>
        </w:tc>
        <w:tc>
          <w:tcPr>
            <w:tcW w:w="960" w:type="dxa"/>
            <w:tcBorders>
              <w:top w:val="nil"/>
              <w:left w:val="nil"/>
              <w:bottom w:val="single" w:sz="4" w:space="0" w:color="auto"/>
              <w:right w:val="single" w:sz="4" w:space="0" w:color="auto"/>
            </w:tcBorders>
            <w:shd w:val="clear" w:color="auto" w:fill="auto"/>
            <w:noWrap/>
            <w:vAlign w:val="bottom"/>
            <w:hideMark/>
          </w:tcPr>
          <w:p w14:paraId="4FF16F5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1.875</w:t>
            </w:r>
          </w:p>
        </w:tc>
        <w:tc>
          <w:tcPr>
            <w:tcW w:w="960" w:type="dxa"/>
            <w:tcBorders>
              <w:top w:val="nil"/>
              <w:left w:val="nil"/>
              <w:bottom w:val="single" w:sz="4" w:space="0" w:color="auto"/>
              <w:right w:val="single" w:sz="4" w:space="0" w:color="auto"/>
            </w:tcBorders>
            <w:shd w:val="clear" w:color="auto" w:fill="auto"/>
            <w:noWrap/>
            <w:vAlign w:val="bottom"/>
            <w:hideMark/>
          </w:tcPr>
          <w:p w14:paraId="7C488F3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95</w:t>
            </w:r>
          </w:p>
        </w:tc>
        <w:tc>
          <w:tcPr>
            <w:tcW w:w="960" w:type="dxa"/>
            <w:tcBorders>
              <w:top w:val="nil"/>
              <w:left w:val="nil"/>
              <w:bottom w:val="single" w:sz="4" w:space="0" w:color="auto"/>
              <w:right w:val="single" w:sz="4" w:space="0" w:color="auto"/>
            </w:tcBorders>
            <w:shd w:val="clear" w:color="auto" w:fill="auto"/>
            <w:noWrap/>
            <w:vAlign w:val="bottom"/>
            <w:hideMark/>
          </w:tcPr>
          <w:p w14:paraId="06AAA5B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BA53A9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CC4D6F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678B3F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F9C5DD9"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352,383 </w:t>
            </w:r>
          </w:p>
        </w:tc>
      </w:tr>
      <w:tr w:rsidR="00E664C6" w:rsidRPr="00E664C6" w14:paraId="53007FAD"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D26161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lastRenderedPageBreak/>
              <w:t>87</w:t>
            </w:r>
          </w:p>
        </w:tc>
        <w:tc>
          <w:tcPr>
            <w:tcW w:w="960" w:type="dxa"/>
            <w:tcBorders>
              <w:top w:val="nil"/>
              <w:left w:val="nil"/>
              <w:bottom w:val="single" w:sz="4" w:space="0" w:color="auto"/>
              <w:right w:val="single" w:sz="4" w:space="0" w:color="auto"/>
            </w:tcBorders>
            <w:shd w:val="clear" w:color="auto" w:fill="auto"/>
            <w:noWrap/>
            <w:vAlign w:val="bottom"/>
            <w:hideMark/>
          </w:tcPr>
          <w:p w14:paraId="292A75E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w:t>
            </w:r>
          </w:p>
        </w:tc>
        <w:tc>
          <w:tcPr>
            <w:tcW w:w="960" w:type="dxa"/>
            <w:tcBorders>
              <w:top w:val="nil"/>
              <w:left w:val="nil"/>
              <w:bottom w:val="single" w:sz="4" w:space="0" w:color="auto"/>
              <w:right w:val="single" w:sz="4" w:space="0" w:color="auto"/>
            </w:tcBorders>
            <w:shd w:val="clear" w:color="auto" w:fill="auto"/>
            <w:noWrap/>
            <w:vAlign w:val="bottom"/>
            <w:hideMark/>
          </w:tcPr>
          <w:p w14:paraId="5CF9067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60</w:t>
            </w:r>
          </w:p>
        </w:tc>
        <w:tc>
          <w:tcPr>
            <w:tcW w:w="960" w:type="dxa"/>
            <w:tcBorders>
              <w:top w:val="nil"/>
              <w:left w:val="nil"/>
              <w:bottom w:val="single" w:sz="4" w:space="0" w:color="auto"/>
              <w:right w:val="single" w:sz="4" w:space="0" w:color="auto"/>
            </w:tcBorders>
            <w:shd w:val="clear" w:color="auto" w:fill="auto"/>
            <w:noWrap/>
            <w:vAlign w:val="bottom"/>
            <w:hideMark/>
          </w:tcPr>
          <w:p w14:paraId="5878DE6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FF864C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73F77A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8DDBBC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D78812D"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142,437 </w:t>
            </w:r>
          </w:p>
        </w:tc>
      </w:tr>
      <w:tr w:rsidR="00E664C6" w:rsidRPr="00E664C6" w14:paraId="2C637122"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52EF20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88</w:t>
            </w:r>
          </w:p>
        </w:tc>
        <w:tc>
          <w:tcPr>
            <w:tcW w:w="960" w:type="dxa"/>
            <w:tcBorders>
              <w:top w:val="nil"/>
              <w:left w:val="nil"/>
              <w:bottom w:val="single" w:sz="4" w:space="0" w:color="auto"/>
              <w:right w:val="single" w:sz="4" w:space="0" w:color="auto"/>
            </w:tcBorders>
            <w:shd w:val="clear" w:color="auto" w:fill="auto"/>
            <w:noWrap/>
            <w:vAlign w:val="bottom"/>
            <w:hideMark/>
          </w:tcPr>
          <w:p w14:paraId="0506E84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w:t>
            </w:r>
          </w:p>
        </w:tc>
        <w:tc>
          <w:tcPr>
            <w:tcW w:w="960" w:type="dxa"/>
            <w:tcBorders>
              <w:top w:val="nil"/>
              <w:left w:val="nil"/>
              <w:bottom w:val="single" w:sz="4" w:space="0" w:color="auto"/>
              <w:right w:val="single" w:sz="4" w:space="0" w:color="auto"/>
            </w:tcBorders>
            <w:shd w:val="clear" w:color="auto" w:fill="auto"/>
            <w:noWrap/>
            <w:vAlign w:val="bottom"/>
            <w:hideMark/>
          </w:tcPr>
          <w:p w14:paraId="7508E1E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60</w:t>
            </w:r>
          </w:p>
        </w:tc>
        <w:tc>
          <w:tcPr>
            <w:tcW w:w="960" w:type="dxa"/>
            <w:tcBorders>
              <w:top w:val="nil"/>
              <w:left w:val="nil"/>
              <w:bottom w:val="single" w:sz="4" w:space="0" w:color="auto"/>
              <w:right w:val="single" w:sz="4" w:space="0" w:color="auto"/>
            </w:tcBorders>
            <w:shd w:val="clear" w:color="auto" w:fill="auto"/>
            <w:noWrap/>
            <w:vAlign w:val="bottom"/>
            <w:hideMark/>
          </w:tcPr>
          <w:p w14:paraId="70D0128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964496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7616F8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FFF756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6483D45"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154,307 </w:t>
            </w:r>
          </w:p>
        </w:tc>
      </w:tr>
      <w:tr w:rsidR="00E664C6" w:rsidRPr="00E664C6" w14:paraId="3239567D"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DF802D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89</w:t>
            </w:r>
          </w:p>
        </w:tc>
        <w:tc>
          <w:tcPr>
            <w:tcW w:w="960" w:type="dxa"/>
            <w:tcBorders>
              <w:top w:val="nil"/>
              <w:left w:val="nil"/>
              <w:bottom w:val="single" w:sz="4" w:space="0" w:color="auto"/>
              <w:right w:val="single" w:sz="4" w:space="0" w:color="auto"/>
            </w:tcBorders>
            <w:shd w:val="clear" w:color="auto" w:fill="auto"/>
            <w:noWrap/>
            <w:vAlign w:val="bottom"/>
            <w:hideMark/>
          </w:tcPr>
          <w:p w14:paraId="2E92A62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4AFC5C1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65</w:t>
            </w:r>
          </w:p>
        </w:tc>
        <w:tc>
          <w:tcPr>
            <w:tcW w:w="960" w:type="dxa"/>
            <w:tcBorders>
              <w:top w:val="nil"/>
              <w:left w:val="nil"/>
              <w:bottom w:val="single" w:sz="4" w:space="0" w:color="auto"/>
              <w:right w:val="single" w:sz="4" w:space="0" w:color="auto"/>
            </w:tcBorders>
            <w:shd w:val="clear" w:color="auto" w:fill="auto"/>
            <w:noWrap/>
            <w:vAlign w:val="bottom"/>
            <w:hideMark/>
          </w:tcPr>
          <w:p w14:paraId="4E64B95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927FFA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E884FF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E7162F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EEE9790"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160,736 </w:t>
            </w:r>
          </w:p>
        </w:tc>
      </w:tr>
      <w:tr w:rsidR="00E664C6" w:rsidRPr="00E664C6" w14:paraId="5DE838B6"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CB7D7D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90</w:t>
            </w:r>
          </w:p>
        </w:tc>
        <w:tc>
          <w:tcPr>
            <w:tcW w:w="960" w:type="dxa"/>
            <w:tcBorders>
              <w:top w:val="nil"/>
              <w:left w:val="nil"/>
              <w:bottom w:val="single" w:sz="4" w:space="0" w:color="auto"/>
              <w:right w:val="single" w:sz="4" w:space="0" w:color="auto"/>
            </w:tcBorders>
            <w:shd w:val="clear" w:color="auto" w:fill="auto"/>
            <w:noWrap/>
            <w:vAlign w:val="bottom"/>
            <w:hideMark/>
          </w:tcPr>
          <w:p w14:paraId="13DF680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1.875</w:t>
            </w:r>
          </w:p>
        </w:tc>
        <w:tc>
          <w:tcPr>
            <w:tcW w:w="960" w:type="dxa"/>
            <w:tcBorders>
              <w:top w:val="nil"/>
              <w:left w:val="nil"/>
              <w:bottom w:val="single" w:sz="4" w:space="0" w:color="auto"/>
              <w:right w:val="single" w:sz="4" w:space="0" w:color="auto"/>
            </w:tcBorders>
            <w:shd w:val="clear" w:color="auto" w:fill="auto"/>
            <w:noWrap/>
            <w:vAlign w:val="bottom"/>
            <w:hideMark/>
          </w:tcPr>
          <w:p w14:paraId="7CA6E57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29BD783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4B9D78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88E586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7E2DCD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53DC62A"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278,197 </w:t>
            </w:r>
          </w:p>
        </w:tc>
      </w:tr>
      <w:tr w:rsidR="00E664C6" w:rsidRPr="00E664C6" w14:paraId="7645AC89"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0D476E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91</w:t>
            </w:r>
          </w:p>
        </w:tc>
        <w:tc>
          <w:tcPr>
            <w:tcW w:w="960" w:type="dxa"/>
            <w:tcBorders>
              <w:top w:val="nil"/>
              <w:left w:val="nil"/>
              <w:bottom w:val="single" w:sz="4" w:space="0" w:color="auto"/>
              <w:right w:val="single" w:sz="4" w:space="0" w:color="auto"/>
            </w:tcBorders>
            <w:shd w:val="clear" w:color="auto" w:fill="auto"/>
            <w:noWrap/>
            <w:vAlign w:val="bottom"/>
            <w:hideMark/>
          </w:tcPr>
          <w:p w14:paraId="61E2857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4A27D2C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150</w:t>
            </w:r>
          </w:p>
        </w:tc>
        <w:tc>
          <w:tcPr>
            <w:tcW w:w="960" w:type="dxa"/>
            <w:tcBorders>
              <w:top w:val="nil"/>
              <w:left w:val="nil"/>
              <w:bottom w:val="single" w:sz="4" w:space="0" w:color="auto"/>
              <w:right w:val="single" w:sz="4" w:space="0" w:color="auto"/>
            </w:tcBorders>
            <w:shd w:val="clear" w:color="auto" w:fill="auto"/>
            <w:noWrap/>
            <w:vAlign w:val="bottom"/>
            <w:hideMark/>
          </w:tcPr>
          <w:p w14:paraId="74CD988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E62098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215463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332CE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74D947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741,859 </w:t>
            </w:r>
          </w:p>
        </w:tc>
      </w:tr>
      <w:tr w:rsidR="00E664C6" w:rsidRPr="00E664C6" w14:paraId="56F34D9F"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69F9082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92</w:t>
            </w:r>
          </w:p>
        </w:tc>
        <w:tc>
          <w:tcPr>
            <w:tcW w:w="960" w:type="dxa"/>
            <w:tcBorders>
              <w:top w:val="nil"/>
              <w:left w:val="nil"/>
              <w:bottom w:val="single" w:sz="4" w:space="0" w:color="auto"/>
              <w:right w:val="single" w:sz="4" w:space="0" w:color="auto"/>
            </w:tcBorders>
            <w:shd w:val="clear" w:color="auto" w:fill="auto"/>
            <w:noWrap/>
            <w:vAlign w:val="bottom"/>
            <w:hideMark/>
          </w:tcPr>
          <w:p w14:paraId="11BB31F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55788A2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210</w:t>
            </w:r>
          </w:p>
        </w:tc>
        <w:tc>
          <w:tcPr>
            <w:tcW w:w="960" w:type="dxa"/>
            <w:tcBorders>
              <w:top w:val="nil"/>
              <w:left w:val="nil"/>
              <w:bottom w:val="single" w:sz="4" w:space="0" w:color="auto"/>
              <w:right w:val="single" w:sz="4" w:space="0" w:color="auto"/>
            </w:tcBorders>
            <w:shd w:val="clear" w:color="auto" w:fill="auto"/>
            <w:noWrap/>
            <w:vAlign w:val="bottom"/>
            <w:hideMark/>
          </w:tcPr>
          <w:p w14:paraId="0C57CCB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F5528D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210CF8A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9AC071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2799EBAF"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1,038,602 </w:t>
            </w:r>
          </w:p>
        </w:tc>
      </w:tr>
      <w:tr w:rsidR="00E664C6" w:rsidRPr="00E664C6" w14:paraId="18F5C8CB"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4EF5BDA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93</w:t>
            </w:r>
          </w:p>
        </w:tc>
        <w:tc>
          <w:tcPr>
            <w:tcW w:w="960" w:type="dxa"/>
            <w:tcBorders>
              <w:top w:val="nil"/>
              <w:left w:val="nil"/>
              <w:bottom w:val="single" w:sz="4" w:space="0" w:color="auto"/>
              <w:right w:val="single" w:sz="4" w:space="0" w:color="auto"/>
            </w:tcBorders>
            <w:shd w:val="clear" w:color="auto" w:fill="auto"/>
            <w:noWrap/>
            <w:vAlign w:val="bottom"/>
            <w:hideMark/>
          </w:tcPr>
          <w:p w14:paraId="447A8BC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2C51741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135</w:t>
            </w:r>
          </w:p>
        </w:tc>
        <w:tc>
          <w:tcPr>
            <w:tcW w:w="960" w:type="dxa"/>
            <w:tcBorders>
              <w:top w:val="nil"/>
              <w:left w:val="nil"/>
              <w:bottom w:val="single" w:sz="4" w:space="0" w:color="auto"/>
              <w:right w:val="single" w:sz="4" w:space="0" w:color="auto"/>
            </w:tcBorders>
            <w:shd w:val="clear" w:color="auto" w:fill="auto"/>
            <w:noWrap/>
            <w:vAlign w:val="bottom"/>
            <w:hideMark/>
          </w:tcPr>
          <w:p w14:paraId="4BE04B0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6AC661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ED4C8C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4269D0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8622A1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667,673 </w:t>
            </w:r>
          </w:p>
        </w:tc>
      </w:tr>
      <w:tr w:rsidR="00E664C6" w:rsidRPr="00E664C6" w14:paraId="17830EDD"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824C0B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94</w:t>
            </w:r>
          </w:p>
        </w:tc>
        <w:tc>
          <w:tcPr>
            <w:tcW w:w="960" w:type="dxa"/>
            <w:tcBorders>
              <w:top w:val="nil"/>
              <w:left w:val="nil"/>
              <w:bottom w:val="single" w:sz="4" w:space="0" w:color="auto"/>
              <w:right w:val="single" w:sz="4" w:space="0" w:color="auto"/>
            </w:tcBorders>
            <w:shd w:val="clear" w:color="auto" w:fill="auto"/>
            <w:noWrap/>
            <w:vAlign w:val="bottom"/>
            <w:hideMark/>
          </w:tcPr>
          <w:p w14:paraId="250192A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w:t>
            </w:r>
          </w:p>
        </w:tc>
        <w:tc>
          <w:tcPr>
            <w:tcW w:w="960" w:type="dxa"/>
            <w:tcBorders>
              <w:top w:val="nil"/>
              <w:left w:val="nil"/>
              <w:bottom w:val="single" w:sz="4" w:space="0" w:color="auto"/>
              <w:right w:val="single" w:sz="4" w:space="0" w:color="auto"/>
            </w:tcBorders>
            <w:shd w:val="clear" w:color="auto" w:fill="auto"/>
            <w:noWrap/>
            <w:vAlign w:val="bottom"/>
            <w:hideMark/>
          </w:tcPr>
          <w:p w14:paraId="4863112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1B95661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4D79B22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0B383E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D87F6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99B57C6"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163,209 </w:t>
            </w:r>
          </w:p>
        </w:tc>
      </w:tr>
      <w:tr w:rsidR="00E664C6" w:rsidRPr="00E664C6" w14:paraId="2C03AA27"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9DDF62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95</w:t>
            </w:r>
          </w:p>
        </w:tc>
        <w:tc>
          <w:tcPr>
            <w:tcW w:w="960" w:type="dxa"/>
            <w:tcBorders>
              <w:top w:val="nil"/>
              <w:left w:val="nil"/>
              <w:bottom w:val="single" w:sz="4" w:space="0" w:color="auto"/>
              <w:right w:val="single" w:sz="4" w:space="0" w:color="auto"/>
            </w:tcBorders>
            <w:shd w:val="clear" w:color="auto" w:fill="auto"/>
            <w:noWrap/>
            <w:vAlign w:val="bottom"/>
            <w:hideMark/>
          </w:tcPr>
          <w:p w14:paraId="7338DCA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1.875</w:t>
            </w:r>
          </w:p>
        </w:tc>
        <w:tc>
          <w:tcPr>
            <w:tcW w:w="960" w:type="dxa"/>
            <w:tcBorders>
              <w:top w:val="nil"/>
              <w:left w:val="nil"/>
              <w:bottom w:val="single" w:sz="4" w:space="0" w:color="auto"/>
              <w:right w:val="single" w:sz="4" w:space="0" w:color="auto"/>
            </w:tcBorders>
            <w:shd w:val="clear" w:color="auto" w:fill="auto"/>
            <w:noWrap/>
            <w:vAlign w:val="bottom"/>
            <w:hideMark/>
          </w:tcPr>
          <w:p w14:paraId="6776E6F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65</w:t>
            </w:r>
          </w:p>
        </w:tc>
        <w:tc>
          <w:tcPr>
            <w:tcW w:w="960" w:type="dxa"/>
            <w:tcBorders>
              <w:top w:val="nil"/>
              <w:left w:val="nil"/>
              <w:bottom w:val="single" w:sz="4" w:space="0" w:color="auto"/>
              <w:right w:val="single" w:sz="4" w:space="0" w:color="auto"/>
            </w:tcBorders>
            <w:shd w:val="clear" w:color="auto" w:fill="auto"/>
            <w:noWrap/>
            <w:vAlign w:val="bottom"/>
            <w:hideMark/>
          </w:tcPr>
          <w:p w14:paraId="5788416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142609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0A81507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F8882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28BE601"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241,104 </w:t>
            </w:r>
          </w:p>
        </w:tc>
      </w:tr>
      <w:tr w:rsidR="00E664C6" w:rsidRPr="00E664C6" w14:paraId="5EC6A865"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3A3625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96</w:t>
            </w:r>
          </w:p>
        </w:tc>
        <w:tc>
          <w:tcPr>
            <w:tcW w:w="960" w:type="dxa"/>
            <w:tcBorders>
              <w:top w:val="nil"/>
              <w:left w:val="nil"/>
              <w:bottom w:val="single" w:sz="4" w:space="0" w:color="auto"/>
              <w:right w:val="single" w:sz="4" w:space="0" w:color="auto"/>
            </w:tcBorders>
            <w:shd w:val="clear" w:color="auto" w:fill="auto"/>
            <w:noWrap/>
            <w:vAlign w:val="bottom"/>
            <w:hideMark/>
          </w:tcPr>
          <w:p w14:paraId="4DFFE0E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6C647E3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80</w:t>
            </w:r>
          </w:p>
        </w:tc>
        <w:tc>
          <w:tcPr>
            <w:tcW w:w="960" w:type="dxa"/>
            <w:tcBorders>
              <w:top w:val="nil"/>
              <w:left w:val="nil"/>
              <w:bottom w:val="single" w:sz="4" w:space="0" w:color="auto"/>
              <w:right w:val="single" w:sz="4" w:space="0" w:color="auto"/>
            </w:tcBorders>
            <w:shd w:val="clear" w:color="auto" w:fill="auto"/>
            <w:noWrap/>
            <w:vAlign w:val="bottom"/>
            <w:hideMark/>
          </w:tcPr>
          <w:p w14:paraId="664C1FC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16C474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01F624F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AF3D7F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7B1E5B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395,658 </w:t>
            </w:r>
          </w:p>
        </w:tc>
      </w:tr>
      <w:tr w:rsidR="00E664C6" w:rsidRPr="00E664C6" w14:paraId="6B4852FA"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063721C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97</w:t>
            </w:r>
          </w:p>
        </w:tc>
        <w:tc>
          <w:tcPr>
            <w:tcW w:w="960" w:type="dxa"/>
            <w:tcBorders>
              <w:top w:val="nil"/>
              <w:left w:val="nil"/>
              <w:bottom w:val="single" w:sz="4" w:space="0" w:color="auto"/>
              <w:right w:val="single" w:sz="4" w:space="0" w:color="auto"/>
            </w:tcBorders>
            <w:shd w:val="clear" w:color="auto" w:fill="auto"/>
            <w:noWrap/>
            <w:vAlign w:val="bottom"/>
            <w:hideMark/>
          </w:tcPr>
          <w:p w14:paraId="0C16B4A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5E1CD50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110</w:t>
            </w:r>
          </w:p>
        </w:tc>
        <w:tc>
          <w:tcPr>
            <w:tcW w:w="960" w:type="dxa"/>
            <w:tcBorders>
              <w:top w:val="nil"/>
              <w:left w:val="nil"/>
              <w:bottom w:val="single" w:sz="4" w:space="0" w:color="auto"/>
              <w:right w:val="single" w:sz="4" w:space="0" w:color="auto"/>
            </w:tcBorders>
            <w:shd w:val="clear" w:color="auto" w:fill="auto"/>
            <w:noWrap/>
            <w:vAlign w:val="bottom"/>
            <w:hideMark/>
          </w:tcPr>
          <w:p w14:paraId="1324C15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419D3A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DD8F46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725B5C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CBAF4A6"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544,030 </w:t>
            </w:r>
          </w:p>
        </w:tc>
      </w:tr>
      <w:tr w:rsidR="00E664C6" w:rsidRPr="00E664C6" w14:paraId="58D2EED4"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0A4366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98</w:t>
            </w:r>
          </w:p>
        </w:tc>
        <w:tc>
          <w:tcPr>
            <w:tcW w:w="960" w:type="dxa"/>
            <w:tcBorders>
              <w:top w:val="nil"/>
              <w:left w:val="nil"/>
              <w:bottom w:val="single" w:sz="4" w:space="0" w:color="auto"/>
              <w:right w:val="single" w:sz="4" w:space="0" w:color="auto"/>
            </w:tcBorders>
            <w:shd w:val="clear" w:color="auto" w:fill="auto"/>
            <w:noWrap/>
            <w:vAlign w:val="bottom"/>
            <w:hideMark/>
          </w:tcPr>
          <w:p w14:paraId="46C7274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613B2BF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145</w:t>
            </w:r>
          </w:p>
        </w:tc>
        <w:tc>
          <w:tcPr>
            <w:tcW w:w="960" w:type="dxa"/>
            <w:tcBorders>
              <w:top w:val="nil"/>
              <w:left w:val="nil"/>
              <w:bottom w:val="single" w:sz="4" w:space="0" w:color="auto"/>
              <w:right w:val="single" w:sz="4" w:space="0" w:color="auto"/>
            </w:tcBorders>
            <w:shd w:val="clear" w:color="auto" w:fill="auto"/>
            <w:noWrap/>
            <w:vAlign w:val="bottom"/>
            <w:hideMark/>
          </w:tcPr>
          <w:p w14:paraId="36131DD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66BA86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3B284A3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B3EEC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8DD31F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717,130 </w:t>
            </w:r>
          </w:p>
        </w:tc>
      </w:tr>
      <w:tr w:rsidR="00E664C6" w:rsidRPr="00E664C6" w14:paraId="33FA9F12"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F211F0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99</w:t>
            </w:r>
          </w:p>
        </w:tc>
        <w:tc>
          <w:tcPr>
            <w:tcW w:w="960" w:type="dxa"/>
            <w:tcBorders>
              <w:top w:val="nil"/>
              <w:left w:val="nil"/>
              <w:bottom w:val="single" w:sz="4" w:space="0" w:color="auto"/>
              <w:right w:val="single" w:sz="4" w:space="0" w:color="auto"/>
            </w:tcBorders>
            <w:shd w:val="clear" w:color="auto" w:fill="auto"/>
            <w:noWrap/>
            <w:vAlign w:val="bottom"/>
            <w:hideMark/>
          </w:tcPr>
          <w:p w14:paraId="24B0D5A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2F00DCF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210</w:t>
            </w:r>
          </w:p>
        </w:tc>
        <w:tc>
          <w:tcPr>
            <w:tcW w:w="960" w:type="dxa"/>
            <w:tcBorders>
              <w:top w:val="nil"/>
              <w:left w:val="nil"/>
              <w:bottom w:val="single" w:sz="4" w:space="0" w:color="auto"/>
              <w:right w:val="single" w:sz="4" w:space="0" w:color="auto"/>
            </w:tcBorders>
            <w:shd w:val="clear" w:color="auto" w:fill="auto"/>
            <w:noWrap/>
            <w:vAlign w:val="bottom"/>
            <w:hideMark/>
          </w:tcPr>
          <w:p w14:paraId="4F29577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00CDCA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087AA30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3CD16A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DEA6391"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1,038,602 </w:t>
            </w:r>
          </w:p>
        </w:tc>
      </w:tr>
      <w:tr w:rsidR="00E664C6" w:rsidRPr="00E664C6" w14:paraId="67112C14"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0B556D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100</w:t>
            </w:r>
          </w:p>
        </w:tc>
        <w:tc>
          <w:tcPr>
            <w:tcW w:w="960" w:type="dxa"/>
            <w:tcBorders>
              <w:top w:val="nil"/>
              <w:left w:val="nil"/>
              <w:bottom w:val="single" w:sz="4" w:space="0" w:color="auto"/>
              <w:right w:val="single" w:sz="4" w:space="0" w:color="auto"/>
            </w:tcBorders>
            <w:shd w:val="clear" w:color="auto" w:fill="auto"/>
            <w:noWrap/>
            <w:vAlign w:val="bottom"/>
            <w:hideMark/>
          </w:tcPr>
          <w:p w14:paraId="37D280F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21AADA1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210</w:t>
            </w:r>
          </w:p>
        </w:tc>
        <w:tc>
          <w:tcPr>
            <w:tcW w:w="960" w:type="dxa"/>
            <w:tcBorders>
              <w:top w:val="nil"/>
              <w:left w:val="nil"/>
              <w:bottom w:val="single" w:sz="4" w:space="0" w:color="auto"/>
              <w:right w:val="single" w:sz="4" w:space="0" w:color="auto"/>
            </w:tcBorders>
            <w:shd w:val="clear" w:color="auto" w:fill="auto"/>
            <w:noWrap/>
            <w:vAlign w:val="bottom"/>
            <w:hideMark/>
          </w:tcPr>
          <w:p w14:paraId="327DE4C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2BE44C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861D07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B86A82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7EE2BBF"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1,038,602 </w:t>
            </w:r>
          </w:p>
        </w:tc>
      </w:tr>
      <w:tr w:rsidR="00E664C6" w:rsidRPr="00E664C6" w14:paraId="42EB16C3"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8D4F87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101</w:t>
            </w:r>
          </w:p>
        </w:tc>
        <w:tc>
          <w:tcPr>
            <w:tcW w:w="960" w:type="dxa"/>
            <w:tcBorders>
              <w:top w:val="nil"/>
              <w:left w:val="nil"/>
              <w:bottom w:val="single" w:sz="4" w:space="0" w:color="auto"/>
              <w:right w:val="single" w:sz="4" w:space="0" w:color="auto"/>
            </w:tcBorders>
            <w:shd w:val="clear" w:color="auto" w:fill="auto"/>
            <w:noWrap/>
            <w:vAlign w:val="bottom"/>
            <w:hideMark/>
          </w:tcPr>
          <w:p w14:paraId="3D4D017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4E3D0A7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16C75CD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9413CE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6CA6ED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F0B10F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6959111"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618,216 </w:t>
            </w:r>
          </w:p>
        </w:tc>
      </w:tr>
      <w:tr w:rsidR="00E664C6" w:rsidRPr="00E664C6" w14:paraId="674AED66"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4FD50BA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102</w:t>
            </w:r>
          </w:p>
        </w:tc>
        <w:tc>
          <w:tcPr>
            <w:tcW w:w="960" w:type="dxa"/>
            <w:tcBorders>
              <w:top w:val="nil"/>
              <w:left w:val="nil"/>
              <w:bottom w:val="single" w:sz="4" w:space="0" w:color="auto"/>
              <w:right w:val="single" w:sz="4" w:space="0" w:color="auto"/>
            </w:tcBorders>
            <w:shd w:val="clear" w:color="auto" w:fill="auto"/>
            <w:noWrap/>
            <w:vAlign w:val="bottom"/>
            <w:hideMark/>
          </w:tcPr>
          <w:p w14:paraId="3B2D1D8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0.5</w:t>
            </w:r>
          </w:p>
        </w:tc>
        <w:tc>
          <w:tcPr>
            <w:tcW w:w="960" w:type="dxa"/>
            <w:tcBorders>
              <w:top w:val="nil"/>
              <w:left w:val="nil"/>
              <w:bottom w:val="single" w:sz="4" w:space="0" w:color="auto"/>
              <w:right w:val="single" w:sz="4" w:space="0" w:color="auto"/>
            </w:tcBorders>
            <w:shd w:val="clear" w:color="auto" w:fill="auto"/>
            <w:noWrap/>
            <w:vAlign w:val="bottom"/>
            <w:hideMark/>
          </w:tcPr>
          <w:p w14:paraId="4CD364D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55</w:t>
            </w:r>
          </w:p>
        </w:tc>
        <w:tc>
          <w:tcPr>
            <w:tcW w:w="960" w:type="dxa"/>
            <w:tcBorders>
              <w:top w:val="nil"/>
              <w:left w:val="nil"/>
              <w:bottom w:val="single" w:sz="4" w:space="0" w:color="auto"/>
              <w:right w:val="single" w:sz="4" w:space="0" w:color="auto"/>
            </w:tcBorders>
            <w:shd w:val="clear" w:color="auto" w:fill="auto"/>
            <w:noWrap/>
            <w:vAlign w:val="bottom"/>
            <w:hideMark/>
          </w:tcPr>
          <w:p w14:paraId="64CF816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7A4910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F5CAB5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126BEE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675FBD5"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54,403 </w:t>
            </w:r>
          </w:p>
        </w:tc>
      </w:tr>
      <w:tr w:rsidR="00E664C6" w:rsidRPr="00E664C6" w14:paraId="03719D0F"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408245C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103</w:t>
            </w:r>
          </w:p>
        </w:tc>
        <w:tc>
          <w:tcPr>
            <w:tcW w:w="960" w:type="dxa"/>
            <w:tcBorders>
              <w:top w:val="nil"/>
              <w:left w:val="nil"/>
              <w:bottom w:val="single" w:sz="4" w:space="0" w:color="auto"/>
              <w:right w:val="single" w:sz="4" w:space="0" w:color="auto"/>
            </w:tcBorders>
            <w:shd w:val="clear" w:color="auto" w:fill="auto"/>
            <w:noWrap/>
            <w:vAlign w:val="bottom"/>
            <w:hideMark/>
          </w:tcPr>
          <w:p w14:paraId="60BC00C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w:t>
            </w:r>
          </w:p>
        </w:tc>
        <w:tc>
          <w:tcPr>
            <w:tcW w:w="960" w:type="dxa"/>
            <w:tcBorders>
              <w:top w:val="nil"/>
              <w:left w:val="nil"/>
              <w:bottom w:val="single" w:sz="4" w:space="0" w:color="auto"/>
              <w:right w:val="single" w:sz="4" w:space="0" w:color="auto"/>
            </w:tcBorders>
            <w:shd w:val="clear" w:color="auto" w:fill="auto"/>
            <w:noWrap/>
            <w:vAlign w:val="bottom"/>
            <w:hideMark/>
          </w:tcPr>
          <w:p w14:paraId="27773E3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55</w:t>
            </w:r>
          </w:p>
        </w:tc>
        <w:tc>
          <w:tcPr>
            <w:tcW w:w="960" w:type="dxa"/>
            <w:tcBorders>
              <w:top w:val="nil"/>
              <w:left w:val="nil"/>
              <w:bottom w:val="single" w:sz="4" w:space="0" w:color="auto"/>
              <w:right w:val="single" w:sz="4" w:space="0" w:color="auto"/>
            </w:tcBorders>
            <w:shd w:val="clear" w:color="auto" w:fill="auto"/>
            <w:noWrap/>
            <w:vAlign w:val="bottom"/>
            <w:hideMark/>
          </w:tcPr>
          <w:p w14:paraId="249BA9D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2CF645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94A13A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E1060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28B0030C"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130,567 </w:t>
            </w:r>
          </w:p>
        </w:tc>
      </w:tr>
      <w:tr w:rsidR="00E664C6" w:rsidRPr="00E664C6" w14:paraId="301956A1"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8A2F6A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104</w:t>
            </w:r>
          </w:p>
        </w:tc>
        <w:tc>
          <w:tcPr>
            <w:tcW w:w="960" w:type="dxa"/>
            <w:tcBorders>
              <w:top w:val="nil"/>
              <w:left w:val="nil"/>
              <w:bottom w:val="single" w:sz="4" w:space="0" w:color="auto"/>
              <w:right w:val="single" w:sz="4" w:space="0" w:color="auto"/>
            </w:tcBorders>
            <w:shd w:val="clear" w:color="auto" w:fill="auto"/>
            <w:noWrap/>
            <w:vAlign w:val="bottom"/>
            <w:hideMark/>
          </w:tcPr>
          <w:p w14:paraId="5EDE4DD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115C5E9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1FA6610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4CE5725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960EFF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6E2A79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043B23B"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370,929 </w:t>
            </w:r>
          </w:p>
        </w:tc>
      </w:tr>
      <w:tr w:rsidR="00E664C6" w:rsidRPr="00E664C6" w14:paraId="7FF7F060"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71D261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105</w:t>
            </w:r>
          </w:p>
        </w:tc>
        <w:tc>
          <w:tcPr>
            <w:tcW w:w="960" w:type="dxa"/>
            <w:tcBorders>
              <w:top w:val="nil"/>
              <w:left w:val="nil"/>
              <w:bottom w:val="single" w:sz="4" w:space="0" w:color="auto"/>
              <w:right w:val="single" w:sz="4" w:space="0" w:color="auto"/>
            </w:tcBorders>
            <w:shd w:val="clear" w:color="auto" w:fill="auto"/>
            <w:noWrap/>
            <w:vAlign w:val="bottom"/>
            <w:hideMark/>
          </w:tcPr>
          <w:p w14:paraId="144C3F9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4C31476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115</w:t>
            </w:r>
          </w:p>
        </w:tc>
        <w:tc>
          <w:tcPr>
            <w:tcW w:w="960" w:type="dxa"/>
            <w:tcBorders>
              <w:top w:val="nil"/>
              <w:left w:val="nil"/>
              <w:bottom w:val="single" w:sz="4" w:space="0" w:color="auto"/>
              <w:right w:val="single" w:sz="4" w:space="0" w:color="auto"/>
            </w:tcBorders>
            <w:shd w:val="clear" w:color="auto" w:fill="auto"/>
            <w:noWrap/>
            <w:vAlign w:val="bottom"/>
            <w:hideMark/>
          </w:tcPr>
          <w:p w14:paraId="198CD3F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4AACA89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CCD488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A6362E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1D693FB"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568,758 </w:t>
            </w:r>
          </w:p>
        </w:tc>
      </w:tr>
      <w:tr w:rsidR="00E664C6" w:rsidRPr="00E664C6" w14:paraId="5725C202"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65CD9E2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106</w:t>
            </w:r>
          </w:p>
        </w:tc>
        <w:tc>
          <w:tcPr>
            <w:tcW w:w="960" w:type="dxa"/>
            <w:tcBorders>
              <w:top w:val="nil"/>
              <w:left w:val="nil"/>
              <w:bottom w:val="single" w:sz="4" w:space="0" w:color="auto"/>
              <w:right w:val="single" w:sz="4" w:space="0" w:color="auto"/>
            </w:tcBorders>
            <w:shd w:val="clear" w:color="auto" w:fill="auto"/>
            <w:noWrap/>
            <w:vAlign w:val="bottom"/>
            <w:hideMark/>
          </w:tcPr>
          <w:p w14:paraId="1C39A4E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6A76E34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145</w:t>
            </w:r>
          </w:p>
        </w:tc>
        <w:tc>
          <w:tcPr>
            <w:tcW w:w="960" w:type="dxa"/>
            <w:tcBorders>
              <w:top w:val="nil"/>
              <w:left w:val="nil"/>
              <w:bottom w:val="single" w:sz="4" w:space="0" w:color="auto"/>
              <w:right w:val="single" w:sz="4" w:space="0" w:color="auto"/>
            </w:tcBorders>
            <w:shd w:val="clear" w:color="auto" w:fill="auto"/>
            <w:noWrap/>
            <w:vAlign w:val="bottom"/>
            <w:hideMark/>
          </w:tcPr>
          <w:p w14:paraId="6DF982E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81F40D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0207540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2FFEF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25522D3"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717,130 </w:t>
            </w:r>
          </w:p>
        </w:tc>
      </w:tr>
      <w:tr w:rsidR="00E664C6" w:rsidRPr="00E664C6" w14:paraId="5797339C"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E9099E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107</w:t>
            </w:r>
          </w:p>
        </w:tc>
        <w:tc>
          <w:tcPr>
            <w:tcW w:w="960" w:type="dxa"/>
            <w:tcBorders>
              <w:top w:val="nil"/>
              <w:left w:val="nil"/>
              <w:bottom w:val="single" w:sz="4" w:space="0" w:color="auto"/>
              <w:right w:val="single" w:sz="4" w:space="0" w:color="auto"/>
            </w:tcBorders>
            <w:shd w:val="clear" w:color="auto" w:fill="auto"/>
            <w:noWrap/>
            <w:vAlign w:val="bottom"/>
            <w:hideMark/>
          </w:tcPr>
          <w:p w14:paraId="6C6CD7D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26A1DB7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185</w:t>
            </w:r>
          </w:p>
        </w:tc>
        <w:tc>
          <w:tcPr>
            <w:tcW w:w="960" w:type="dxa"/>
            <w:tcBorders>
              <w:top w:val="nil"/>
              <w:left w:val="nil"/>
              <w:bottom w:val="single" w:sz="4" w:space="0" w:color="auto"/>
              <w:right w:val="single" w:sz="4" w:space="0" w:color="auto"/>
            </w:tcBorders>
            <w:shd w:val="clear" w:color="auto" w:fill="auto"/>
            <w:noWrap/>
            <w:vAlign w:val="bottom"/>
            <w:hideMark/>
          </w:tcPr>
          <w:p w14:paraId="2A6CC46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9B6DC3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72BD49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786B8A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2666FA25"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914,959 </w:t>
            </w:r>
          </w:p>
        </w:tc>
      </w:tr>
      <w:tr w:rsidR="00E664C6" w:rsidRPr="00E664C6" w14:paraId="005018FE"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EA3BD2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108</w:t>
            </w:r>
          </w:p>
        </w:tc>
        <w:tc>
          <w:tcPr>
            <w:tcW w:w="960" w:type="dxa"/>
            <w:tcBorders>
              <w:top w:val="nil"/>
              <w:left w:val="nil"/>
              <w:bottom w:val="single" w:sz="4" w:space="0" w:color="auto"/>
              <w:right w:val="single" w:sz="4" w:space="0" w:color="auto"/>
            </w:tcBorders>
            <w:shd w:val="clear" w:color="auto" w:fill="auto"/>
            <w:noWrap/>
            <w:vAlign w:val="bottom"/>
            <w:hideMark/>
          </w:tcPr>
          <w:p w14:paraId="4A9CD7C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7E0E361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160</w:t>
            </w:r>
          </w:p>
        </w:tc>
        <w:tc>
          <w:tcPr>
            <w:tcW w:w="960" w:type="dxa"/>
            <w:tcBorders>
              <w:top w:val="nil"/>
              <w:left w:val="nil"/>
              <w:bottom w:val="single" w:sz="4" w:space="0" w:color="auto"/>
              <w:right w:val="single" w:sz="4" w:space="0" w:color="auto"/>
            </w:tcBorders>
            <w:shd w:val="clear" w:color="auto" w:fill="auto"/>
            <w:noWrap/>
            <w:vAlign w:val="bottom"/>
            <w:hideMark/>
          </w:tcPr>
          <w:p w14:paraId="023D2F6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050346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FF6E67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F3BFD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B142EB0"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791,316 </w:t>
            </w:r>
          </w:p>
        </w:tc>
      </w:tr>
      <w:tr w:rsidR="00E664C6" w:rsidRPr="00E664C6" w14:paraId="2F7AC1A5"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BDB6FE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109</w:t>
            </w:r>
          </w:p>
        </w:tc>
        <w:tc>
          <w:tcPr>
            <w:tcW w:w="960" w:type="dxa"/>
            <w:tcBorders>
              <w:top w:val="nil"/>
              <w:left w:val="nil"/>
              <w:bottom w:val="single" w:sz="4" w:space="0" w:color="auto"/>
              <w:right w:val="single" w:sz="4" w:space="0" w:color="auto"/>
            </w:tcBorders>
            <w:shd w:val="clear" w:color="auto" w:fill="auto"/>
            <w:noWrap/>
            <w:vAlign w:val="bottom"/>
            <w:hideMark/>
          </w:tcPr>
          <w:p w14:paraId="4C611AD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44502A4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170</w:t>
            </w:r>
          </w:p>
        </w:tc>
        <w:tc>
          <w:tcPr>
            <w:tcW w:w="960" w:type="dxa"/>
            <w:tcBorders>
              <w:top w:val="nil"/>
              <w:left w:val="nil"/>
              <w:bottom w:val="single" w:sz="4" w:space="0" w:color="auto"/>
              <w:right w:val="single" w:sz="4" w:space="0" w:color="auto"/>
            </w:tcBorders>
            <w:shd w:val="clear" w:color="auto" w:fill="auto"/>
            <w:noWrap/>
            <w:vAlign w:val="bottom"/>
            <w:hideMark/>
          </w:tcPr>
          <w:p w14:paraId="52730D7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2D9152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D0D617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5610C7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727086A"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840,773 </w:t>
            </w:r>
          </w:p>
        </w:tc>
      </w:tr>
      <w:tr w:rsidR="00E664C6" w:rsidRPr="00E664C6" w14:paraId="0FFDC886"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363A99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110</w:t>
            </w:r>
          </w:p>
        </w:tc>
        <w:tc>
          <w:tcPr>
            <w:tcW w:w="960" w:type="dxa"/>
            <w:tcBorders>
              <w:top w:val="nil"/>
              <w:left w:val="nil"/>
              <w:bottom w:val="single" w:sz="4" w:space="0" w:color="auto"/>
              <w:right w:val="single" w:sz="4" w:space="0" w:color="auto"/>
            </w:tcBorders>
            <w:shd w:val="clear" w:color="auto" w:fill="auto"/>
            <w:noWrap/>
            <w:vAlign w:val="bottom"/>
            <w:hideMark/>
          </w:tcPr>
          <w:p w14:paraId="716DC6B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0.625</w:t>
            </w:r>
          </w:p>
        </w:tc>
        <w:tc>
          <w:tcPr>
            <w:tcW w:w="960" w:type="dxa"/>
            <w:tcBorders>
              <w:top w:val="nil"/>
              <w:left w:val="nil"/>
              <w:bottom w:val="single" w:sz="4" w:space="0" w:color="auto"/>
              <w:right w:val="single" w:sz="4" w:space="0" w:color="auto"/>
            </w:tcBorders>
            <w:shd w:val="clear" w:color="auto" w:fill="auto"/>
            <w:noWrap/>
            <w:vAlign w:val="bottom"/>
            <w:hideMark/>
          </w:tcPr>
          <w:p w14:paraId="1B6E4C6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90</w:t>
            </w:r>
          </w:p>
        </w:tc>
        <w:tc>
          <w:tcPr>
            <w:tcW w:w="960" w:type="dxa"/>
            <w:tcBorders>
              <w:top w:val="nil"/>
              <w:left w:val="nil"/>
              <w:bottom w:val="single" w:sz="4" w:space="0" w:color="auto"/>
              <w:right w:val="single" w:sz="4" w:space="0" w:color="auto"/>
            </w:tcBorders>
            <w:shd w:val="clear" w:color="auto" w:fill="auto"/>
            <w:noWrap/>
            <w:vAlign w:val="bottom"/>
            <w:hideMark/>
          </w:tcPr>
          <w:p w14:paraId="7175DC1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18A366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3E56D10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39E0D2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016B6491"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111,279 </w:t>
            </w:r>
          </w:p>
        </w:tc>
      </w:tr>
      <w:tr w:rsidR="00E664C6" w:rsidRPr="00E664C6" w14:paraId="62B4C22F"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60278D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111</w:t>
            </w:r>
          </w:p>
        </w:tc>
        <w:tc>
          <w:tcPr>
            <w:tcW w:w="960" w:type="dxa"/>
            <w:tcBorders>
              <w:top w:val="nil"/>
              <w:left w:val="nil"/>
              <w:bottom w:val="single" w:sz="4" w:space="0" w:color="auto"/>
              <w:right w:val="single" w:sz="4" w:space="0" w:color="auto"/>
            </w:tcBorders>
            <w:shd w:val="clear" w:color="auto" w:fill="auto"/>
            <w:noWrap/>
            <w:vAlign w:val="bottom"/>
            <w:hideMark/>
          </w:tcPr>
          <w:p w14:paraId="77E2FCB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w:t>
            </w:r>
          </w:p>
        </w:tc>
        <w:tc>
          <w:tcPr>
            <w:tcW w:w="960" w:type="dxa"/>
            <w:tcBorders>
              <w:top w:val="nil"/>
              <w:left w:val="nil"/>
              <w:bottom w:val="single" w:sz="4" w:space="0" w:color="auto"/>
              <w:right w:val="single" w:sz="4" w:space="0" w:color="auto"/>
            </w:tcBorders>
            <w:shd w:val="clear" w:color="auto" w:fill="auto"/>
            <w:noWrap/>
            <w:vAlign w:val="bottom"/>
            <w:hideMark/>
          </w:tcPr>
          <w:p w14:paraId="5A055BB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60</w:t>
            </w:r>
          </w:p>
        </w:tc>
        <w:tc>
          <w:tcPr>
            <w:tcW w:w="960" w:type="dxa"/>
            <w:tcBorders>
              <w:top w:val="nil"/>
              <w:left w:val="nil"/>
              <w:bottom w:val="single" w:sz="4" w:space="0" w:color="auto"/>
              <w:right w:val="single" w:sz="4" w:space="0" w:color="auto"/>
            </w:tcBorders>
            <w:shd w:val="clear" w:color="auto" w:fill="auto"/>
            <w:noWrap/>
            <w:vAlign w:val="bottom"/>
            <w:hideMark/>
          </w:tcPr>
          <w:p w14:paraId="1A9D823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799F51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585C3D2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A3248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EBC8E8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142,437 </w:t>
            </w:r>
          </w:p>
        </w:tc>
      </w:tr>
      <w:tr w:rsidR="00E664C6" w:rsidRPr="00E664C6" w14:paraId="0C53AD16"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4B8A698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112</w:t>
            </w:r>
          </w:p>
        </w:tc>
        <w:tc>
          <w:tcPr>
            <w:tcW w:w="960" w:type="dxa"/>
            <w:tcBorders>
              <w:top w:val="nil"/>
              <w:left w:val="nil"/>
              <w:bottom w:val="single" w:sz="4" w:space="0" w:color="auto"/>
              <w:right w:val="single" w:sz="4" w:space="0" w:color="auto"/>
            </w:tcBorders>
            <w:shd w:val="clear" w:color="auto" w:fill="auto"/>
            <w:noWrap/>
            <w:vAlign w:val="bottom"/>
            <w:hideMark/>
          </w:tcPr>
          <w:p w14:paraId="1800365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5B30911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713A62F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7F3682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FEEC86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8BE2E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F8C8193"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370,929 </w:t>
            </w:r>
          </w:p>
        </w:tc>
      </w:tr>
      <w:tr w:rsidR="00E664C6" w:rsidRPr="00E664C6" w14:paraId="46A11CC4"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0123DFD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113</w:t>
            </w:r>
          </w:p>
        </w:tc>
        <w:tc>
          <w:tcPr>
            <w:tcW w:w="960" w:type="dxa"/>
            <w:tcBorders>
              <w:top w:val="nil"/>
              <w:left w:val="nil"/>
              <w:bottom w:val="single" w:sz="4" w:space="0" w:color="auto"/>
              <w:right w:val="single" w:sz="4" w:space="0" w:color="auto"/>
            </w:tcBorders>
            <w:shd w:val="clear" w:color="auto" w:fill="auto"/>
            <w:noWrap/>
            <w:vAlign w:val="bottom"/>
            <w:hideMark/>
          </w:tcPr>
          <w:p w14:paraId="584DF89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4246A46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135</w:t>
            </w:r>
          </w:p>
        </w:tc>
        <w:tc>
          <w:tcPr>
            <w:tcW w:w="960" w:type="dxa"/>
            <w:tcBorders>
              <w:top w:val="nil"/>
              <w:left w:val="nil"/>
              <w:bottom w:val="single" w:sz="4" w:space="0" w:color="auto"/>
              <w:right w:val="single" w:sz="4" w:space="0" w:color="auto"/>
            </w:tcBorders>
            <w:shd w:val="clear" w:color="auto" w:fill="auto"/>
            <w:noWrap/>
            <w:vAlign w:val="bottom"/>
            <w:hideMark/>
          </w:tcPr>
          <w:p w14:paraId="2B1CF54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0FA8F0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74E623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1A2A2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27CEE12C"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667,673 </w:t>
            </w:r>
          </w:p>
        </w:tc>
      </w:tr>
      <w:tr w:rsidR="00E664C6" w:rsidRPr="00E664C6" w14:paraId="3C514B68"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DD9657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114</w:t>
            </w:r>
          </w:p>
        </w:tc>
        <w:tc>
          <w:tcPr>
            <w:tcW w:w="960" w:type="dxa"/>
            <w:tcBorders>
              <w:top w:val="nil"/>
              <w:left w:val="nil"/>
              <w:bottom w:val="single" w:sz="4" w:space="0" w:color="auto"/>
              <w:right w:val="single" w:sz="4" w:space="0" w:color="auto"/>
            </w:tcBorders>
            <w:shd w:val="clear" w:color="auto" w:fill="auto"/>
            <w:noWrap/>
            <w:vAlign w:val="bottom"/>
            <w:hideMark/>
          </w:tcPr>
          <w:p w14:paraId="081767E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04F97CD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160</w:t>
            </w:r>
          </w:p>
        </w:tc>
        <w:tc>
          <w:tcPr>
            <w:tcW w:w="960" w:type="dxa"/>
            <w:tcBorders>
              <w:top w:val="nil"/>
              <w:left w:val="nil"/>
              <w:bottom w:val="single" w:sz="4" w:space="0" w:color="auto"/>
              <w:right w:val="single" w:sz="4" w:space="0" w:color="auto"/>
            </w:tcBorders>
            <w:shd w:val="clear" w:color="auto" w:fill="auto"/>
            <w:noWrap/>
            <w:vAlign w:val="bottom"/>
            <w:hideMark/>
          </w:tcPr>
          <w:p w14:paraId="7237AE0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D1C45E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20B225B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D5D371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2C1853BD"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791,316 </w:t>
            </w:r>
          </w:p>
        </w:tc>
      </w:tr>
      <w:tr w:rsidR="00E664C6" w:rsidRPr="00E664C6" w14:paraId="775C6D50"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5C6B52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115</w:t>
            </w:r>
          </w:p>
        </w:tc>
        <w:tc>
          <w:tcPr>
            <w:tcW w:w="960" w:type="dxa"/>
            <w:tcBorders>
              <w:top w:val="nil"/>
              <w:left w:val="nil"/>
              <w:bottom w:val="single" w:sz="4" w:space="0" w:color="auto"/>
              <w:right w:val="single" w:sz="4" w:space="0" w:color="auto"/>
            </w:tcBorders>
            <w:shd w:val="clear" w:color="auto" w:fill="auto"/>
            <w:noWrap/>
            <w:vAlign w:val="bottom"/>
            <w:hideMark/>
          </w:tcPr>
          <w:p w14:paraId="031FF03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7B4E073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7B771E5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3D41F9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BCD977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9376F8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1EBDEDE7"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618,216 </w:t>
            </w:r>
          </w:p>
        </w:tc>
      </w:tr>
      <w:tr w:rsidR="00E664C6" w:rsidRPr="00E664C6" w14:paraId="720D1374"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FDA915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116</w:t>
            </w:r>
          </w:p>
        </w:tc>
        <w:tc>
          <w:tcPr>
            <w:tcW w:w="960" w:type="dxa"/>
            <w:tcBorders>
              <w:top w:val="nil"/>
              <w:left w:val="nil"/>
              <w:bottom w:val="single" w:sz="4" w:space="0" w:color="auto"/>
              <w:right w:val="single" w:sz="4" w:space="0" w:color="auto"/>
            </w:tcBorders>
            <w:shd w:val="clear" w:color="auto" w:fill="auto"/>
            <w:noWrap/>
            <w:vAlign w:val="bottom"/>
            <w:hideMark/>
          </w:tcPr>
          <w:p w14:paraId="6F05C8F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4BFC4F5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145</w:t>
            </w:r>
          </w:p>
        </w:tc>
        <w:tc>
          <w:tcPr>
            <w:tcW w:w="960" w:type="dxa"/>
            <w:tcBorders>
              <w:top w:val="nil"/>
              <w:left w:val="nil"/>
              <w:bottom w:val="single" w:sz="4" w:space="0" w:color="auto"/>
              <w:right w:val="single" w:sz="4" w:space="0" w:color="auto"/>
            </w:tcBorders>
            <w:shd w:val="clear" w:color="auto" w:fill="auto"/>
            <w:noWrap/>
            <w:vAlign w:val="bottom"/>
            <w:hideMark/>
          </w:tcPr>
          <w:p w14:paraId="297D077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3C93221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38E998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0A3AD9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247A836"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717,130 </w:t>
            </w:r>
          </w:p>
        </w:tc>
      </w:tr>
      <w:tr w:rsidR="00E664C6" w:rsidRPr="00E664C6" w14:paraId="506B30D9"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AB0424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lastRenderedPageBreak/>
              <w:t>117</w:t>
            </w:r>
          </w:p>
        </w:tc>
        <w:tc>
          <w:tcPr>
            <w:tcW w:w="960" w:type="dxa"/>
            <w:tcBorders>
              <w:top w:val="nil"/>
              <w:left w:val="nil"/>
              <w:bottom w:val="single" w:sz="4" w:space="0" w:color="auto"/>
              <w:right w:val="single" w:sz="4" w:space="0" w:color="auto"/>
            </w:tcBorders>
            <w:shd w:val="clear" w:color="auto" w:fill="auto"/>
            <w:noWrap/>
            <w:vAlign w:val="bottom"/>
            <w:hideMark/>
          </w:tcPr>
          <w:p w14:paraId="56EC52D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0.8</w:t>
            </w:r>
          </w:p>
        </w:tc>
        <w:tc>
          <w:tcPr>
            <w:tcW w:w="960" w:type="dxa"/>
            <w:tcBorders>
              <w:top w:val="nil"/>
              <w:left w:val="nil"/>
              <w:bottom w:val="single" w:sz="4" w:space="0" w:color="auto"/>
              <w:right w:val="single" w:sz="4" w:space="0" w:color="auto"/>
            </w:tcBorders>
            <w:shd w:val="clear" w:color="auto" w:fill="auto"/>
            <w:noWrap/>
            <w:vAlign w:val="bottom"/>
            <w:hideMark/>
          </w:tcPr>
          <w:p w14:paraId="4334193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85</w:t>
            </w:r>
          </w:p>
        </w:tc>
        <w:tc>
          <w:tcPr>
            <w:tcW w:w="960" w:type="dxa"/>
            <w:tcBorders>
              <w:top w:val="nil"/>
              <w:left w:val="nil"/>
              <w:bottom w:val="single" w:sz="4" w:space="0" w:color="auto"/>
              <w:right w:val="single" w:sz="4" w:space="0" w:color="auto"/>
            </w:tcBorders>
            <w:shd w:val="clear" w:color="auto" w:fill="auto"/>
            <w:noWrap/>
            <w:vAlign w:val="bottom"/>
            <w:hideMark/>
          </w:tcPr>
          <w:p w14:paraId="40B7410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1463CF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0E9D11D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C23D9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8C1DDEA"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134,524 </w:t>
            </w:r>
          </w:p>
        </w:tc>
      </w:tr>
      <w:tr w:rsidR="00E664C6" w:rsidRPr="00E664C6" w14:paraId="6CFA8AB0"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B3DE2A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118</w:t>
            </w:r>
          </w:p>
        </w:tc>
        <w:tc>
          <w:tcPr>
            <w:tcW w:w="960" w:type="dxa"/>
            <w:tcBorders>
              <w:top w:val="nil"/>
              <w:left w:val="nil"/>
              <w:bottom w:val="single" w:sz="4" w:space="0" w:color="auto"/>
              <w:right w:val="single" w:sz="4" w:space="0" w:color="auto"/>
            </w:tcBorders>
            <w:shd w:val="clear" w:color="auto" w:fill="auto"/>
            <w:noWrap/>
            <w:vAlign w:val="bottom"/>
            <w:hideMark/>
          </w:tcPr>
          <w:p w14:paraId="502DEBA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1.8</w:t>
            </w:r>
          </w:p>
        </w:tc>
        <w:tc>
          <w:tcPr>
            <w:tcW w:w="960" w:type="dxa"/>
            <w:tcBorders>
              <w:top w:val="nil"/>
              <w:left w:val="nil"/>
              <w:bottom w:val="single" w:sz="4" w:space="0" w:color="auto"/>
              <w:right w:val="single" w:sz="4" w:space="0" w:color="auto"/>
            </w:tcBorders>
            <w:shd w:val="clear" w:color="auto" w:fill="auto"/>
            <w:noWrap/>
            <w:vAlign w:val="bottom"/>
            <w:hideMark/>
          </w:tcPr>
          <w:p w14:paraId="0CB53EB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20344B1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131DCA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0EA624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AC8604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4228FFB"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267,069 </w:t>
            </w:r>
          </w:p>
        </w:tc>
      </w:tr>
      <w:tr w:rsidR="00E664C6" w:rsidRPr="00E664C6" w14:paraId="71DE7B9A"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62A7818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119</w:t>
            </w:r>
          </w:p>
        </w:tc>
        <w:tc>
          <w:tcPr>
            <w:tcW w:w="960" w:type="dxa"/>
            <w:tcBorders>
              <w:top w:val="nil"/>
              <w:left w:val="nil"/>
              <w:bottom w:val="single" w:sz="4" w:space="0" w:color="auto"/>
              <w:right w:val="single" w:sz="4" w:space="0" w:color="auto"/>
            </w:tcBorders>
            <w:shd w:val="clear" w:color="auto" w:fill="auto"/>
            <w:noWrap/>
            <w:vAlign w:val="bottom"/>
            <w:hideMark/>
          </w:tcPr>
          <w:p w14:paraId="4F2171D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5119DFE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145</w:t>
            </w:r>
          </w:p>
        </w:tc>
        <w:tc>
          <w:tcPr>
            <w:tcW w:w="960" w:type="dxa"/>
            <w:tcBorders>
              <w:top w:val="nil"/>
              <w:left w:val="nil"/>
              <w:bottom w:val="single" w:sz="4" w:space="0" w:color="auto"/>
              <w:right w:val="single" w:sz="4" w:space="0" w:color="auto"/>
            </w:tcBorders>
            <w:shd w:val="clear" w:color="auto" w:fill="auto"/>
            <w:noWrap/>
            <w:vAlign w:val="bottom"/>
            <w:hideMark/>
          </w:tcPr>
          <w:p w14:paraId="68AECE9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5379F5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1E8A07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4603F6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1B6E4F22"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717,130 </w:t>
            </w:r>
          </w:p>
        </w:tc>
      </w:tr>
      <w:tr w:rsidR="00E664C6" w:rsidRPr="00E664C6" w14:paraId="696536F9"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F38C23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120</w:t>
            </w:r>
          </w:p>
        </w:tc>
        <w:tc>
          <w:tcPr>
            <w:tcW w:w="960" w:type="dxa"/>
            <w:tcBorders>
              <w:top w:val="nil"/>
              <w:left w:val="nil"/>
              <w:bottom w:val="single" w:sz="4" w:space="0" w:color="auto"/>
              <w:right w:val="single" w:sz="4" w:space="0" w:color="auto"/>
            </w:tcBorders>
            <w:shd w:val="clear" w:color="auto" w:fill="auto"/>
            <w:noWrap/>
            <w:vAlign w:val="bottom"/>
            <w:hideMark/>
          </w:tcPr>
          <w:p w14:paraId="3F80DC1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4D88BCF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180</w:t>
            </w:r>
          </w:p>
        </w:tc>
        <w:tc>
          <w:tcPr>
            <w:tcW w:w="960" w:type="dxa"/>
            <w:tcBorders>
              <w:top w:val="nil"/>
              <w:left w:val="nil"/>
              <w:bottom w:val="single" w:sz="4" w:space="0" w:color="auto"/>
              <w:right w:val="single" w:sz="4" w:space="0" w:color="auto"/>
            </w:tcBorders>
            <w:shd w:val="clear" w:color="auto" w:fill="auto"/>
            <w:noWrap/>
            <w:vAlign w:val="bottom"/>
            <w:hideMark/>
          </w:tcPr>
          <w:p w14:paraId="11C642A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DF88C6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32E8BE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BB90F6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58FD182"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890,231 </w:t>
            </w:r>
          </w:p>
        </w:tc>
      </w:tr>
      <w:tr w:rsidR="00E664C6" w:rsidRPr="00E664C6" w14:paraId="339948B7"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6AFAEAF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121</w:t>
            </w:r>
          </w:p>
        </w:tc>
        <w:tc>
          <w:tcPr>
            <w:tcW w:w="960" w:type="dxa"/>
            <w:tcBorders>
              <w:top w:val="nil"/>
              <w:left w:val="nil"/>
              <w:bottom w:val="single" w:sz="4" w:space="0" w:color="auto"/>
              <w:right w:val="single" w:sz="4" w:space="0" w:color="auto"/>
            </w:tcBorders>
            <w:shd w:val="clear" w:color="auto" w:fill="auto"/>
            <w:noWrap/>
            <w:vAlign w:val="bottom"/>
            <w:hideMark/>
          </w:tcPr>
          <w:p w14:paraId="3715C16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58A96FF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90</w:t>
            </w:r>
          </w:p>
        </w:tc>
        <w:tc>
          <w:tcPr>
            <w:tcW w:w="960" w:type="dxa"/>
            <w:tcBorders>
              <w:top w:val="nil"/>
              <w:left w:val="nil"/>
              <w:bottom w:val="single" w:sz="4" w:space="0" w:color="auto"/>
              <w:right w:val="single" w:sz="4" w:space="0" w:color="auto"/>
            </w:tcBorders>
            <w:shd w:val="clear" w:color="auto" w:fill="auto"/>
            <w:noWrap/>
            <w:vAlign w:val="bottom"/>
            <w:hideMark/>
          </w:tcPr>
          <w:p w14:paraId="773A72D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854567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686855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1B5966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E587BFC"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445,115 </w:t>
            </w:r>
          </w:p>
        </w:tc>
      </w:tr>
      <w:tr w:rsidR="00E664C6" w:rsidRPr="00E664C6" w14:paraId="25C245B9"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A8769F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122</w:t>
            </w:r>
          </w:p>
        </w:tc>
        <w:tc>
          <w:tcPr>
            <w:tcW w:w="960" w:type="dxa"/>
            <w:tcBorders>
              <w:top w:val="nil"/>
              <w:left w:val="nil"/>
              <w:bottom w:val="single" w:sz="4" w:space="0" w:color="auto"/>
              <w:right w:val="single" w:sz="4" w:space="0" w:color="auto"/>
            </w:tcBorders>
            <w:shd w:val="clear" w:color="auto" w:fill="auto"/>
            <w:noWrap/>
            <w:vAlign w:val="bottom"/>
            <w:hideMark/>
          </w:tcPr>
          <w:p w14:paraId="57F958F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13D6B79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90</w:t>
            </w:r>
          </w:p>
        </w:tc>
        <w:tc>
          <w:tcPr>
            <w:tcW w:w="960" w:type="dxa"/>
            <w:tcBorders>
              <w:top w:val="nil"/>
              <w:left w:val="nil"/>
              <w:bottom w:val="single" w:sz="4" w:space="0" w:color="auto"/>
              <w:right w:val="single" w:sz="4" w:space="0" w:color="auto"/>
            </w:tcBorders>
            <w:shd w:val="clear" w:color="auto" w:fill="auto"/>
            <w:noWrap/>
            <w:vAlign w:val="bottom"/>
            <w:hideMark/>
          </w:tcPr>
          <w:p w14:paraId="2F4E477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917923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852265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295E54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1B8A5A9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445,115 </w:t>
            </w:r>
          </w:p>
        </w:tc>
      </w:tr>
      <w:tr w:rsidR="00E664C6" w:rsidRPr="00E664C6" w14:paraId="32A90845"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8F98F2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123</w:t>
            </w:r>
          </w:p>
        </w:tc>
        <w:tc>
          <w:tcPr>
            <w:tcW w:w="960" w:type="dxa"/>
            <w:tcBorders>
              <w:top w:val="nil"/>
              <w:left w:val="nil"/>
              <w:bottom w:val="single" w:sz="4" w:space="0" w:color="auto"/>
              <w:right w:val="single" w:sz="4" w:space="0" w:color="auto"/>
            </w:tcBorders>
            <w:shd w:val="clear" w:color="auto" w:fill="auto"/>
            <w:noWrap/>
            <w:vAlign w:val="bottom"/>
            <w:hideMark/>
          </w:tcPr>
          <w:p w14:paraId="08F5361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w:t>
            </w:r>
          </w:p>
        </w:tc>
        <w:tc>
          <w:tcPr>
            <w:tcW w:w="960" w:type="dxa"/>
            <w:tcBorders>
              <w:top w:val="nil"/>
              <w:left w:val="nil"/>
              <w:bottom w:val="single" w:sz="4" w:space="0" w:color="auto"/>
              <w:right w:val="single" w:sz="4" w:space="0" w:color="auto"/>
            </w:tcBorders>
            <w:shd w:val="clear" w:color="auto" w:fill="auto"/>
            <w:noWrap/>
            <w:vAlign w:val="bottom"/>
            <w:hideMark/>
          </w:tcPr>
          <w:p w14:paraId="4229CEC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58EF674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359588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5A6B93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81C626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3F7C0B7"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44,512 </w:t>
            </w:r>
          </w:p>
        </w:tc>
      </w:tr>
      <w:tr w:rsidR="00E664C6" w:rsidRPr="00E664C6" w14:paraId="2FBFDF14"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9AF061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124</w:t>
            </w:r>
          </w:p>
        </w:tc>
        <w:tc>
          <w:tcPr>
            <w:tcW w:w="960" w:type="dxa"/>
            <w:tcBorders>
              <w:top w:val="nil"/>
              <w:left w:val="nil"/>
              <w:bottom w:val="single" w:sz="4" w:space="0" w:color="auto"/>
              <w:right w:val="single" w:sz="4" w:space="0" w:color="auto"/>
            </w:tcBorders>
            <w:shd w:val="clear" w:color="auto" w:fill="auto"/>
            <w:noWrap/>
            <w:vAlign w:val="bottom"/>
            <w:hideMark/>
          </w:tcPr>
          <w:p w14:paraId="6A89CE6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43C0907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70</w:t>
            </w:r>
          </w:p>
        </w:tc>
        <w:tc>
          <w:tcPr>
            <w:tcW w:w="960" w:type="dxa"/>
            <w:tcBorders>
              <w:top w:val="nil"/>
              <w:left w:val="nil"/>
              <w:bottom w:val="single" w:sz="4" w:space="0" w:color="auto"/>
              <w:right w:val="single" w:sz="4" w:space="0" w:color="auto"/>
            </w:tcBorders>
            <w:shd w:val="clear" w:color="auto" w:fill="auto"/>
            <w:noWrap/>
            <w:vAlign w:val="bottom"/>
            <w:hideMark/>
          </w:tcPr>
          <w:p w14:paraId="4D73553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C99D27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42CCA4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58902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019E44BE"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173,100 </w:t>
            </w:r>
          </w:p>
        </w:tc>
      </w:tr>
      <w:tr w:rsidR="00E664C6" w:rsidRPr="00E664C6" w14:paraId="47BE35CA"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6EDDC2A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4C8080F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78DFE66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150</w:t>
            </w:r>
          </w:p>
        </w:tc>
        <w:tc>
          <w:tcPr>
            <w:tcW w:w="960" w:type="dxa"/>
            <w:tcBorders>
              <w:top w:val="nil"/>
              <w:left w:val="nil"/>
              <w:bottom w:val="single" w:sz="4" w:space="0" w:color="auto"/>
              <w:right w:val="single" w:sz="4" w:space="0" w:color="auto"/>
            </w:tcBorders>
            <w:shd w:val="clear" w:color="auto" w:fill="auto"/>
            <w:noWrap/>
            <w:vAlign w:val="bottom"/>
            <w:hideMark/>
          </w:tcPr>
          <w:p w14:paraId="4098095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3AB205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7704FD0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6CCC3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09E24002"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741,859 </w:t>
            </w:r>
          </w:p>
        </w:tc>
      </w:tr>
      <w:tr w:rsidR="00E664C6" w:rsidRPr="00E664C6" w14:paraId="310687FC"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67224E8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126</w:t>
            </w:r>
          </w:p>
        </w:tc>
        <w:tc>
          <w:tcPr>
            <w:tcW w:w="960" w:type="dxa"/>
            <w:tcBorders>
              <w:top w:val="nil"/>
              <w:left w:val="nil"/>
              <w:bottom w:val="single" w:sz="4" w:space="0" w:color="auto"/>
              <w:right w:val="single" w:sz="4" w:space="0" w:color="auto"/>
            </w:tcBorders>
            <w:shd w:val="clear" w:color="auto" w:fill="auto"/>
            <w:noWrap/>
            <w:vAlign w:val="bottom"/>
            <w:hideMark/>
          </w:tcPr>
          <w:p w14:paraId="2A2BDAE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6F79906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210</w:t>
            </w:r>
          </w:p>
        </w:tc>
        <w:tc>
          <w:tcPr>
            <w:tcW w:w="960" w:type="dxa"/>
            <w:tcBorders>
              <w:top w:val="nil"/>
              <w:left w:val="nil"/>
              <w:bottom w:val="single" w:sz="4" w:space="0" w:color="auto"/>
              <w:right w:val="single" w:sz="4" w:space="0" w:color="auto"/>
            </w:tcBorders>
            <w:shd w:val="clear" w:color="auto" w:fill="auto"/>
            <w:noWrap/>
            <w:vAlign w:val="bottom"/>
            <w:hideMark/>
          </w:tcPr>
          <w:p w14:paraId="25A6B4D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775412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385137D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ED8995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6803F3A"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1,038,602 </w:t>
            </w:r>
          </w:p>
        </w:tc>
      </w:tr>
      <w:tr w:rsidR="00E664C6" w:rsidRPr="00E664C6" w14:paraId="4F6E32AF"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629BA86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127</w:t>
            </w:r>
          </w:p>
        </w:tc>
        <w:tc>
          <w:tcPr>
            <w:tcW w:w="960" w:type="dxa"/>
            <w:tcBorders>
              <w:top w:val="nil"/>
              <w:left w:val="nil"/>
              <w:bottom w:val="single" w:sz="4" w:space="0" w:color="auto"/>
              <w:right w:val="single" w:sz="4" w:space="0" w:color="auto"/>
            </w:tcBorders>
            <w:shd w:val="clear" w:color="auto" w:fill="auto"/>
            <w:noWrap/>
            <w:vAlign w:val="bottom"/>
            <w:hideMark/>
          </w:tcPr>
          <w:p w14:paraId="0897AFA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3E39D99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90</w:t>
            </w:r>
          </w:p>
        </w:tc>
        <w:tc>
          <w:tcPr>
            <w:tcW w:w="960" w:type="dxa"/>
            <w:tcBorders>
              <w:top w:val="nil"/>
              <w:left w:val="nil"/>
              <w:bottom w:val="single" w:sz="4" w:space="0" w:color="auto"/>
              <w:right w:val="single" w:sz="4" w:space="0" w:color="auto"/>
            </w:tcBorders>
            <w:shd w:val="clear" w:color="auto" w:fill="auto"/>
            <w:noWrap/>
            <w:vAlign w:val="bottom"/>
            <w:hideMark/>
          </w:tcPr>
          <w:p w14:paraId="4C5DDD8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48089C8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0D698CA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545E9E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062B8A8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445,115 </w:t>
            </w:r>
          </w:p>
        </w:tc>
      </w:tr>
      <w:tr w:rsidR="00E664C6" w:rsidRPr="00E664C6" w14:paraId="66A69667"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19B550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128</w:t>
            </w:r>
          </w:p>
        </w:tc>
        <w:tc>
          <w:tcPr>
            <w:tcW w:w="960" w:type="dxa"/>
            <w:tcBorders>
              <w:top w:val="nil"/>
              <w:left w:val="nil"/>
              <w:bottom w:val="single" w:sz="4" w:space="0" w:color="auto"/>
              <w:right w:val="single" w:sz="4" w:space="0" w:color="auto"/>
            </w:tcBorders>
            <w:shd w:val="clear" w:color="auto" w:fill="auto"/>
            <w:noWrap/>
            <w:vAlign w:val="bottom"/>
            <w:hideMark/>
          </w:tcPr>
          <w:p w14:paraId="4F19547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1.8</w:t>
            </w:r>
          </w:p>
        </w:tc>
        <w:tc>
          <w:tcPr>
            <w:tcW w:w="960" w:type="dxa"/>
            <w:tcBorders>
              <w:top w:val="nil"/>
              <w:left w:val="nil"/>
              <w:bottom w:val="single" w:sz="4" w:space="0" w:color="auto"/>
              <w:right w:val="single" w:sz="4" w:space="0" w:color="auto"/>
            </w:tcBorders>
            <w:shd w:val="clear" w:color="auto" w:fill="auto"/>
            <w:noWrap/>
            <w:vAlign w:val="bottom"/>
            <w:hideMark/>
          </w:tcPr>
          <w:p w14:paraId="19C952A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65</w:t>
            </w:r>
          </w:p>
        </w:tc>
        <w:tc>
          <w:tcPr>
            <w:tcW w:w="960" w:type="dxa"/>
            <w:tcBorders>
              <w:top w:val="nil"/>
              <w:left w:val="nil"/>
              <w:bottom w:val="single" w:sz="4" w:space="0" w:color="auto"/>
              <w:right w:val="single" w:sz="4" w:space="0" w:color="auto"/>
            </w:tcBorders>
            <w:shd w:val="clear" w:color="auto" w:fill="auto"/>
            <w:noWrap/>
            <w:vAlign w:val="bottom"/>
            <w:hideMark/>
          </w:tcPr>
          <w:p w14:paraId="5B74EE8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2FF0197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290DFBA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7C984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EE9B3E0"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231,460 </w:t>
            </w:r>
          </w:p>
        </w:tc>
      </w:tr>
      <w:tr w:rsidR="00E664C6" w:rsidRPr="00E664C6" w14:paraId="4D8AA6F4"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1FE4DB5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129</w:t>
            </w:r>
          </w:p>
        </w:tc>
        <w:tc>
          <w:tcPr>
            <w:tcW w:w="960" w:type="dxa"/>
            <w:tcBorders>
              <w:top w:val="nil"/>
              <w:left w:val="nil"/>
              <w:bottom w:val="single" w:sz="4" w:space="0" w:color="auto"/>
              <w:right w:val="single" w:sz="4" w:space="0" w:color="auto"/>
            </w:tcBorders>
            <w:shd w:val="clear" w:color="auto" w:fill="auto"/>
            <w:noWrap/>
            <w:vAlign w:val="bottom"/>
            <w:hideMark/>
          </w:tcPr>
          <w:p w14:paraId="29BF5DF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w:t>
            </w:r>
          </w:p>
        </w:tc>
        <w:tc>
          <w:tcPr>
            <w:tcW w:w="960" w:type="dxa"/>
            <w:tcBorders>
              <w:top w:val="nil"/>
              <w:left w:val="nil"/>
              <w:bottom w:val="single" w:sz="4" w:space="0" w:color="auto"/>
              <w:right w:val="single" w:sz="4" w:space="0" w:color="auto"/>
            </w:tcBorders>
            <w:shd w:val="clear" w:color="auto" w:fill="auto"/>
            <w:noWrap/>
            <w:vAlign w:val="bottom"/>
            <w:hideMark/>
          </w:tcPr>
          <w:p w14:paraId="2D85946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65</w:t>
            </w:r>
          </w:p>
        </w:tc>
        <w:tc>
          <w:tcPr>
            <w:tcW w:w="960" w:type="dxa"/>
            <w:tcBorders>
              <w:top w:val="nil"/>
              <w:left w:val="nil"/>
              <w:bottom w:val="single" w:sz="4" w:space="0" w:color="auto"/>
              <w:right w:val="single" w:sz="4" w:space="0" w:color="auto"/>
            </w:tcBorders>
            <w:shd w:val="clear" w:color="auto" w:fill="auto"/>
            <w:noWrap/>
            <w:vAlign w:val="bottom"/>
            <w:hideMark/>
          </w:tcPr>
          <w:p w14:paraId="789AA63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5FE8007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266F01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21626F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6E1551A"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154,307 </w:t>
            </w:r>
          </w:p>
        </w:tc>
      </w:tr>
      <w:tr w:rsidR="00E664C6" w:rsidRPr="00E664C6" w14:paraId="2C4706A2"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B33B6A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130</w:t>
            </w:r>
          </w:p>
        </w:tc>
        <w:tc>
          <w:tcPr>
            <w:tcW w:w="960" w:type="dxa"/>
            <w:tcBorders>
              <w:top w:val="nil"/>
              <w:left w:val="nil"/>
              <w:bottom w:val="single" w:sz="4" w:space="0" w:color="auto"/>
              <w:right w:val="single" w:sz="4" w:space="0" w:color="auto"/>
            </w:tcBorders>
            <w:shd w:val="clear" w:color="auto" w:fill="auto"/>
            <w:noWrap/>
            <w:vAlign w:val="bottom"/>
            <w:hideMark/>
          </w:tcPr>
          <w:p w14:paraId="69F41B7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54CE471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0889692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A93374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CBBCD2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BB8F88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2240E5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618,216 </w:t>
            </w:r>
          </w:p>
        </w:tc>
      </w:tr>
      <w:tr w:rsidR="00E664C6" w:rsidRPr="00E664C6" w14:paraId="4DFD057E"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BD6455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131</w:t>
            </w:r>
          </w:p>
        </w:tc>
        <w:tc>
          <w:tcPr>
            <w:tcW w:w="960" w:type="dxa"/>
            <w:tcBorders>
              <w:top w:val="nil"/>
              <w:left w:val="nil"/>
              <w:bottom w:val="single" w:sz="4" w:space="0" w:color="auto"/>
              <w:right w:val="single" w:sz="4" w:space="0" w:color="auto"/>
            </w:tcBorders>
            <w:shd w:val="clear" w:color="auto" w:fill="auto"/>
            <w:noWrap/>
            <w:vAlign w:val="bottom"/>
            <w:hideMark/>
          </w:tcPr>
          <w:p w14:paraId="262E5E2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5BDE4E8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135</w:t>
            </w:r>
          </w:p>
        </w:tc>
        <w:tc>
          <w:tcPr>
            <w:tcW w:w="960" w:type="dxa"/>
            <w:tcBorders>
              <w:top w:val="nil"/>
              <w:left w:val="nil"/>
              <w:bottom w:val="single" w:sz="4" w:space="0" w:color="auto"/>
              <w:right w:val="single" w:sz="4" w:space="0" w:color="auto"/>
            </w:tcBorders>
            <w:shd w:val="clear" w:color="auto" w:fill="auto"/>
            <w:noWrap/>
            <w:vAlign w:val="bottom"/>
            <w:hideMark/>
          </w:tcPr>
          <w:p w14:paraId="7A76E3B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3E0A9B1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37EC1FB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88973F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C32A552"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667,673 </w:t>
            </w:r>
          </w:p>
        </w:tc>
      </w:tr>
      <w:tr w:rsidR="00E664C6" w:rsidRPr="00E664C6" w14:paraId="33A7AA51"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EC8904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132</w:t>
            </w:r>
          </w:p>
        </w:tc>
        <w:tc>
          <w:tcPr>
            <w:tcW w:w="960" w:type="dxa"/>
            <w:tcBorders>
              <w:top w:val="nil"/>
              <w:left w:val="nil"/>
              <w:bottom w:val="single" w:sz="4" w:space="0" w:color="auto"/>
              <w:right w:val="single" w:sz="4" w:space="0" w:color="auto"/>
            </w:tcBorders>
            <w:shd w:val="clear" w:color="auto" w:fill="auto"/>
            <w:noWrap/>
            <w:vAlign w:val="bottom"/>
            <w:hideMark/>
          </w:tcPr>
          <w:p w14:paraId="6F540E5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06B821D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150</w:t>
            </w:r>
          </w:p>
        </w:tc>
        <w:tc>
          <w:tcPr>
            <w:tcW w:w="960" w:type="dxa"/>
            <w:tcBorders>
              <w:top w:val="nil"/>
              <w:left w:val="nil"/>
              <w:bottom w:val="single" w:sz="4" w:space="0" w:color="auto"/>
              <w:right w:val="single" w:sz="4" w:space="0" w:color="auto"/>
            </w:tcBorders>
            <w:shd w:val="clear" w:color="auto" w:fill="auto"/>
            <w:noWrap/>
            <w:vAlign w:val="bottom"/>
            <w:hideMark/>
          </w:tcPr>
          <w:p w14:paraId="60F7DC8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1FD4C8B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124F6D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21F42B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44F5CCB"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741,859 </w:t>
            </w:r>
          </w:p>
        </w:tc>
      </w:tr>
      <w:tr w:rsidR="00E664C6" w:rsidRPr="00E664C6" w14:paraId="0E9ECF0E"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423DC5B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133</w:t>
            </w:r>
          </w:p>
        </w:tc>
        <w:tc>
          <w:tcPr>
            <w:tcW w:w="960" w:type="dxa"/>
            <w:tcBorders>
              <w:top w:val="nil"/>
              <w:left w:val="nil"/>
              <w:bottom w:val="single" w:sz="4" w:space="0" w:color="auto"/>
              <w:right w:val="single" w:sz="4" w:space="0" w:color="auto"/>
            </w:tcBorders>
            <w:shd w:val="clear" w:color="auto" w:fill="auto"/>
            <w:noWrap/>
            <w:vAlign w:val="bottom"/>
            <w:hideMark/>
          </w:tcPr>
          <w:p w14:paraId="56D69A40"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w:t>
            </w:r>
          </w:p>
        </w:tc>
        <w:tc>
          <w:tcPr>
            <w:tcW w:w="960" w:type="dxa"/>
            <w:tcBorders>
              <w:top w:val="nil"/>
              <w:left w:val="nil"/>
              <w:bottom w:val="single" w:sz="4" w:space="0" w:color="auto"/>
              <w:right w:val="single" w:sz="4" w:space="0" w:color="auto"/>
            </w:tcBorders>
            <w:shd w:val="clear" w:color="auto" w:fill="auto"/>
            <w:noWrap/>
            <w:vAlign w:val="bottom"/>
            <w:hideMark/>
          </w:tcPr>
          <w:p w14:paraId="01E87FD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4F7E095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313A2AF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F8E87E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00FB7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2BBEDCE"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178,046 </w:t>
            </w:r>
          </w:p>
        </w:tc>
      </w:tr>
      <w:tr w:rsidR="00E664C6" w:rsidRPr="00E664C6" w14:paraId="7674F9D1"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7D7A100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134</w:t>
            </w:r>
          </w:p>
        </w:tc>
        <w:tc>
          <w:tcPr>
            <w:tcW w:w="960" w:type="dxa"/>
            <w:tcBorders>
              <w:top w:val="nil"/>
              <w:left w:val="nil"/>
              <w:bottom w:val="single" w:sz="4" w:space="0" w:color="auto"/>
              <w:right w:val="single" w:sz="4" w:space="0" w:color="auto"/>
            </w:tcBorders>
            <w:shd w:val="clear" w:color="auto" w:fill="auto"/>
            <w:noWrap/>
            <w:vAlign w:val="bottom"/>
            <w:hideMark/>
          </w:tcPr>
          <w:p w14:paraId="4EC66C8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0.625</w:t>
            </w:r>
          </w:p>
        </w:tc>
        <w:tc>
          <w:tcPr>
            <w:tcW w:w="960" w:type="dxa"/>
            <w:tcBorders>
              <w:top w:val="nil"/>
              <w:left w:val="nil"/>
              <w:bottom w:val="single" w:sz="4" w:space="0" w:color="auto"/>
              <w:right w:val="single" w:sz="4" w:space="0" w:color="auto"/>
            </w:tcBorders>
            <w:shd w:val="clear" w:color="auto" w:fill="auto"/>
            <w:noWrap/>
            <w:vAlign w:val="bottom"/>
            <w:hideMark/>
          </w:tcPr>
          <w:p w14:paraId="2D3E850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55</w:t>
            </w:r>
          </w:p>
        </w:tc>
        <w:tc>
          <w:tcPr>
            <w:tcW w:w="960" w:type="dxa"/>
            <w:tcBorders>
              <w:top w:val="nil"/>
              <w:left w:val="nil"/>
              <w:bottom w:val="single" w:sz="4" w:space="0" w:color="auto"/>
              <w:right w:val="single" w:sz="4" w:space="0" w:color="auto"/>
            </w:tcBorders>
            <w:shd w:val="clear" w:color="auto" w:fill="auto"/>
            <w:noWrap/>
            <w:vAlign w:val="bottom"/>
            <w:hideMark/>
          </w:tcPr>
          <w:p w14:paraId="528265C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F86CC3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21556D2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48CE0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3514B51D"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68,004 </w:t>
            </w:r>
          </w:p>
        </w:tc>
      </w:tr>
      <w:tr w:rsidR="00E664C6" w:rsidRPr="00E664C6" w14:paraId="4B526542"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00A0B06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135</w:t>
            </w:r>
          </w:p>
        </w:tc>
        <w:tc>
          <w:tcPr>
            <w:tcW w:w="960" w:type="dxa"/>
            <w:tcBorders>
              <w:top w:val="nil"/>
              <w:left w:val="nil"/>
              <w:bottom w:val="single" w:sz="4" w:space="0" w:color="auto"/>
              <w:right w:val="single" w:sz="4" w:space="0" w:color="auto"/>
            </w:tcBorders>
            <w:shd w:val="clear" w:color="auto" w:fill="auto"/>
            <w:noWrap/>
            <w:vAlign w:val="bottom"/>
            <w:hideMark/>
          </w:tcPr>
          <w:p w14:paraId="2F9D15D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385BEDE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100</w:t>
            </w:r>
          </w:p>
        </w:tc>
        <w:tc>
          <w:tcPr>
            <w:tcW w:w="960" w:type="dxa"/>
            <w:tcBorders>
              <w:top w:val="nil"/>
              <w:left w:val="nil"/>
              <w:bottom w:val="single" w:sz="4" w:space="0" w:color="auto"/>
              <w:right w:val="single" w:sz="4" w:space="0" w:color="auto"/>
            </w:tcBorders>
            <w:shd w:val="clear" w:color="auto" w:fill="auto"/>
            <w:noWrap/>
            <w:vAlign w:val="bottom"/>
            <w:hideMark/>
          </w:tcPr>
          <w:p w14:paraId="39C3054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9AF7B0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2C0F480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14C27BC"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419D51A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494,573 </w:t>
            </w:r>
          </w:p>
        </w:tc>
      </w:tr>
      <w:tr w:rsidR="00E664C6" w:rsidRPr="00E664C6" w14:paraId="22958FDC"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33037CE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136</w:t>
            </w:r>
          </w:p>
        </w:tc>
        <w:tc>
          <w:tcPr>
            <w:tcW w:w="960" w:type="dxa"/>
            <w:tcBorders>
              <w:top w:val="nil"/>
              <w:left w:val="nil"/>
              <w:bottom w:val="single" w:sz="4" w:space="0" w:color="auto"/>
              <w:right w:val="single" w:sz="4" w:space="0" w:color="auto"/>
            </w:tcBorders>
            <w:shd w:val="clear" w:color="auto" w:fill="auto"/>
            <w:noWrap/>
            <w:vAlign w:val="bottom"/>
            <w:hideMark/>
          </w:tcPr>
          <w:p w14:paraId="27DB814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2AFB9F6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150</w:t>
            </w:r>
          </w:p>
        </w:tc>
        <w:tc>
          <w:tcPr>
            <w:tcW w:w="960" w:type="dxa"/>
            <w:tcBorders>
              <w:top w:val="nil"/>
              <w:left w:val="nil"/>
              <w:bottom w:val="single" w:sz="4" w:space="0" w:color="auto"/>
              <w:right w:val="single" w:sz="4" w:space="0" w:color="auto"/>
            </w:tcBorders>
            <w:shd w:val="clear" w:color="auto" w:fill="auto"/>
            <w:noWrap/>
            <w:vAlign w:val="bottom"/>
            <w:hideMark/>
          </w:tcPr>
          <w:p w14:paraId="121F93C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07607B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2B122AE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04C7B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196DC119"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741,859 </w:t>
            </w:r>
          </w:p>
        </w:tc>
      </w:tr>
      <w:tr w:rsidR="00E664C6" w:rsidRPr="00E664C6" w14:paraId="21D75EC6"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EBCB21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137</w:t>
            </w:r>
          </w:p>
        </w:tc>
        <w:tc>
          <w:tcPr>
            <w:tcW w:w="960" w:type="dxa"/>
            <w:tcBorders>
              <w:top w:val="nil"/>
              <w:left w:val="nil"/>
              <w:bottom w:val="single" w:sz="4" w:space="0" w:color="auto"/>
              <w:right w:val="single" w:sz="4" w:space="0" w:color="auto"/>
            </w:tcBorders>
            <w:shd w:val="clear" w:color="auto" w:fill="auto"/>
            <w:noWrap/>
            <w:vAlign w:val="bottom"/>
            <w:hideMark/>
          </w:tcPr>
          <w:p w14:paraId="08097EB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2.5</w:t>
            </w:r>
          </w:p>
        </w:tc>
        <w:tc>
          <w:tcPr>
            <w:tcW w:w="960" w:type="dxa"/>
            <w:tcBorders>
              <w:top w:val="nil"/>
              <w:left w:val="nil"/>
              <w:bottom w:val="single" w:sz="4" w:space="0" w:color="auto"/>
              <w:right w:val="single" w:sz="4" w:space="0" w:color="auto"/>
            </w:tcBorders>
            <w:shd w:val="clear" w:color="auto" w:fill="auto"/>
            <w:noWrap/>
            <w:vAlign w:val="bottom"/>
            <w:hideMark/>
          </w:tcPr>
          <w:p w14:paraId="6F4F023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80</w:t>
            </w:r>
          </w:p>
        </w:tc>
        <w:tc>
          <w:tcPr>
            <w:tcW w:w="960" w:type="dxa"/>
            <w:tcBorders>
              <w:top w:val="nil"/>
              <w:left w:val="nil"/>
              <w:bottom w:val="single" w:sz="4" w:space="0" w:color="auto"/>
              <w:right w:val="single" w:sz="4" w:space="0" w:color="auto"/>
            </w:tcBorders>
            <w:shd w:val="clear" w:color="auto" w:fill="auto"/>
            <w:noWrap/>
            <w:vAlign w:val="bottom"/>
            <w:hideMark/>
          </w:tcPr>
          <w:p w14:paraId="451468E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3B09EC1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06B31DB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08732B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7DB19CC0"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395,658 </w:t>
            </w:r>
          </w:p>
        </w:tc>
      </w:tr>
      <w:tr w:rsidR="00E664C6" w:rsidRPr="00E664C6" w14:paraId="43B2F1B5"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5E5B907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138</w:t>
            </w:r>
          </w:p>
        </w:tc>
        <w:tc>
          <w:tcPr>
            <w:tcW w:w="960" w:type="dxa"/>
            <w:tcBorders>
              <w:top w:val="nil"/>
              <w:left w:val="nil"/>
              <w:bottom w:val="single" w:sz="4" w:space="0" w:color="auto"/>
              <w:right w:val="single" w:sz="4" w:space="0" w:color="auto"/>
            </w:tcBorders>
            <w:shd w:val="clear" w:color="auto" w:fill="auto"/>
            <w:noWrap/>
            <w:vAlign w:val="bottom"/>
            <w:hideMark/>
          </w:tcPr>
          <w:p w14:paraId="79C3254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w:t>
            </w:r>
          </w:p>
        </w:tc>
        <w:tc>
          <w:tcPr>
            <w:tcW w:w="960" w:type="dxa"/>
            <w:tcBorders>
              <w:top w:val="nil"/>
              <w:left w:val="nil"/>
              <w:bottom w:val="single" w:sz="4" w:space="0" w:color="auto"/>
              <w:right w:val="single" w:sz="4" w:space="0" w:color="auto"/>
            </w:tcBorders>
            <w:shd w:val="clear" w:color="auto" w:fill="auto"/>
            <w:noWrap/>
            <w:vAlign w:val="bottom"/>
            <w:hideMark/>
          </w:tcPr>
          <w:p w14:paraId="4E7B4B5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70</w:t>
            </w:r>
          </w:p>
        </w:tc>
        <w:tc>
          <w:tcPr>
            <w:tcW w:w="960" w:type="dxa"/>
            <w:tcBorders>
              <w:top w:val="nil"/>
              <w:left w:val="nil"/>
              <w:bottom w:val="single" w:sz="4" w:space="0" w:color="auto"/>
              <w:right w:val="single" w:sz="4" w:space="0" w:color="auto"/>
            </w:tcBorders>
            <w:shd w:val="clear" w:color="auto" w:fill="auto"/>
            <w:noWrap/>
            <w:vAlign w:val="bottom"/>
            <w:hideMark/>
          </w:tcPr>
          <w:p w14:paraId="6B0674B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1B87315"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4C23EE5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97AF68B"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1D50E6CC"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166,176 </w:t>
            </w:r>
          </w:p>
        </w:tc>
      </w:tr>
      <w:tr w:rsidR="00E664C6" w:rsidRPr="00E664C6" w14:paraId="5B23FCFF"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42EF7F2D"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139</w:t>
            </w:r>
          </w:p>
        </w:tc>
        <w:tc>
          <w:tcPr>
            <w:tcW w:w="960" w:type="dxa"/>
            <w:tcBorders>
              <w:top w:val="nil"/>
              <w:left w:val="nil"/>
              <w:bottom w:val="single" w:sz="4" w:space="0" w:color="auto"/>
              <w:right w:val="single" w:sz="4" w:space="0" w:color="auto"/>
            </w:tcBorders>
            <w:shd w:val="clear" w:color="auto" w:fill="auto"/>
            <w:noWrap/>
            <w:vAlign w:val="bottom"/>
            <w:hideMark/>
          </w:tcPr>
          <w:p w14:paraId="78EEB3B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1.25</w:t>
            </w:r>
          </w:p>
        </w:tc>
        <w:tc>
          <w:tcPr>
            <w:tcW w:w="960" w:type="dxa"/>
            <w:tcBorders>
              <w:top w:val="nil"/>
              <w:left w:val="nil"/>
              <w:bottom w:val="single" w:sz="4" w:space="0" w:color="auto"/>
              <w:right w:val="single" w:sz="4" w:space="0" w:color="auto"/>
            </w:tcBorders>
            <w:shd w:val="clear" w:color="auto" w:fill="auto"/>
            <w:noWrap/>
            <w:vAlign w:val="bottom"/>
            <w:hideMark/>
          </w:tcPr>
          <w:p w14:paraId="78707F0A"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0EC698A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73DACF1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2C4703A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63683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6FA2FF2B"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185,465 </w:t>
            </w:r>
          </w:p>
        </w:tc>
      </w:tr>
      <w:tr w:rsidR="00E664C6" w:rsidRPr="00E664C6" w14:paraId="26BFAE53"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0EAD9D87"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140</w:t>
            </w:r>
          </w:p>
        </w:tc>
        <w:tc>
          <w:tcPr>
            <w:tcW w:w="960" w:type="dxa"/>
            <w:tcBorders>
              <w:top w:val="nil"/>
              <w:left w:val="nil"/>
              <w:bottom w:val="single" w:sz="4" w:space="0" w:color="auto"/>
              <w:right w:val="single" w:sz="4" w:space="0" w:color="auto"/>
            </w:tcBorders>
            <w:shd w:val="clear" w:color="auto" w:fill="auto"/>
            <w:noWrap/>
            <w:vAlign w:val="bottom"/>
            <w:hideMark/>
          </w:tcPr>
          <w:p w14:paraId="3581042F"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1.75</w:t>
            </w:r>
          </w:p>
        </w:tc>
        <w:tc>
          <w:tcPr>
            <w:tcW w:w="960" w:type="dxa"/>
            <w:tcBorders>
              <w:top w:val="nil"/>
              <w:left w:val="nil"/>
              <w:bottom w:val="single" w:sz="4" w:space="0" w:color="auto"/>
              <w:right w:val="single" w:sz="4" w:space="0" w:color="auto"/>
            </w:tcBorders>
            <w:shd w:val="clear" w:color="auto" w:fill="auto"/>
            <w:noWrap/>
            <w:vAlign w:val="bottom"/>
            <w:hideMark/>
          </w:tcPr>
          <w:p w14:paraId="318A452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75</w:t>
            </w:r>
          </w:p>
        </w:tc>
        <w:tc>
          <w:tcPr>
            <w:tcW w:w="960" w:type="dxa"/>
            <w:tcBorders>
              <w:top w:val="nil"/>
              <w:left w:val="nil"/>
              <w:bottom w:val="single" w:sz="4" w:space="0" w:color="auto"/>
              <w:right w:val="single" w:sz="4" w:space="0" w:color="auto"/>
            </w:tcBorders>
            <w:shd w:val="clear" w:color="auto" w:fill="auto"/>
            <w:noWrap/>
            <w:vAlign w:val="bottom"/>
            <w:hideMark/>
          </w:tcPr>
          <w:p w14:paraId="208AFCD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F11EB7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3D8312A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6EF25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03531E57"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259,651 </w:t>
            </w:r>
          </w:p>
        </w:tc>
      </w:tr>
      <w:tr w:rsidR="00E664C6" w:rsidRPr="00E664C6" w14:paraId="3028DF8B"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28F5AE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141</w:t>
            </w:r>
          </w:p>
        </w:tc>
        <w:tc>
          <w:tcPr>
            <w:tcW w:w="960" w:type="dxa"/>
            <w:tcBorders>
              <w:top w:val="nil"/>
              <w:left w:val="nil"/>
              <w:bottom w:val="single" w:sz="4" w:space="0" w:color="auto"/>
              <w:right w:val="single" w:sz="4" w:space="0" w:color="auto"/>
            </w:tcBorders>
            <w:shd w:val="clear" w:color="auto" w:fill="auto"/>
            <w:noWrap/>
            <w:vAlign w:val="bottom"/>
            <w:hideMark/>
          </w:tcPr>
          <w:p w14:paraId="709F3BF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0.8</w:t>
            </w:r>
          </w:p>
        </w:tc>
        <w:tc>
          <w:tcPr>
            <w:tcW w:w="960" w:type="dxa"/>
            <w:tcBorders>
              <w:top w:val="nil"/>
              <w:left w:val="nil"/>
              <w:bottom w:val="single" w:sz="4" w:space="0" w:color="auto"/>
              <w:right w:val="single" w:sz="4" w:space="0" w:color="auto"/>
            </w:tcBorders>
            <w:shd w:val="clear" w:color="auto" w:fill="auto"/>
            <w:noWrap/>
            <w:vAlign w:val="bottom"/>
            <w:hideMark/>
          </w:tcPr>
          <w:p w14:paraId="27CC49B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60</w:t>
            </w:r>
          </w:p>
        </w:tc>
        <w:tc>
          <w:tcPr>
            <w:tcW w:w="960" w:type="dxa"/>
            <w:tcBorders>
              <w:top w:val="nil"/>
              <w:left w:val="nil"/>
              <w:bottom w:val="single" w:sz="4" w:space="0" w:color="auto"/>
              <w:right w:val="single" w:sz="4" w:space="0" w:color="auto"/>
            </w:tcBorders>
            <w:shd w:val="clear" w:color="auto" w:fill="auto"/>
            <w:noWrap/>
            <w:vAlign w:val="bottom"/>
            <w:hideMark/>
          </w:tcPr>
          <w:p w14:paraId="633513B3"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06419D8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1E454CA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399E81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2268F918"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94,958 </w:t>
            </w:r>
          </w:p>
        </w:tc>
      </w:tr>
      <w:tr w:rsidR="00E664C6" w:rsidRPr="00E664C6" w14:paraId="50AA8A48" w14:textId="77777777" w:rsidTr="00E664C6">
        <w:trPr>
          <w:trHeight w:val="300"/>
        </w:trPr>
        <w:tc>
          <w:tcPr>
            <w:tcW w:w="960" w:type="dxa"/>
            <w:tcBorders>
              <w:top w:val="nil"/>
              <w:left w:val="single" w:sz="8" w:space="0" w:color="auto"/>
              <w:bottom w:val="single" w:sz="4" w:space="0" w:color="auto"/>
              <w:right w:val="single" w:sz="8" w:space="0" w:color="auto"/>
            </w:tcBorders>
            <w:shd w:val="clear" w:color="auto" w:fill="auto"/>
            <w:noWrap/>
            <w:vAlign w:val="bottom"/>
            <w:hideMark/>
          </w:tcPr>
          <w:p w14:paraId="2B14987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142</w:t>
            </w:r>
          </w:p>
        </w:tc>
        <w:tc>
          <w:tcPr>
            <w:tcW w:w="960" w:type="dxa"/>
            <w:tcBorders>
              <w:top w:val="nil"/>
              <w:left w:val="nil"/>
              <w:bottom w:val="single" w:sz="4" w:space="0" w:color="auto"/>
              <w:right w:val="single" w:sz="4" w:space="0" w:color="auto"/>
            </w:tcBorders>
            <w:shd w:val="clear" w:color="auto" w:fill="auto"/>
            <w:noWrap/>
            <w:vAlign w:val="bottom"/>
            <w:hideMark/>
          </w:tcPr>
          <w:p w14:paraId="5029ACD9"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960" w:type="dxa"/>
            <w:tcBorders>
              <w:top w:val="nil"/>
              <w:left w:val="nil"/>
              <w:bottom w:val="single" w:sz="4" w:space="0" w:color="auto"/>
              <w:right w:val="single" w:sz="4" w:space="0" w:color="auto"/>
            </w:tcBorders>
            <w:shd w:val="clear" w:color="auto" w:fill="auto"/>
            <w:noWrap/>
            <w:vAlign w:val="bottom"/>
            <w:hideMark/>
          </w:tcPr>
          <w:p w14:paraId="69D8F3B2"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60</w:t>
            </w:r>
          </w:p>
        </w:tc>
        <w:tc>
          <w:tcPr>
            <w:tcW w:w="960" w:type="dxa"/>
            <w:tcBorders>
              <w:top w:val="nil"/>
              <w:left w:val="nil"/>
              <w:bottom w:val="single" w:sz="4" w:space="0" w:color="auto"/>
              <w:right w:val="single" w:sz="4" w:space="0" w:color="auto"/>
            </w:tcBorders>
            <w:shd w:val="clear" w:color="auto" w:fill="auto"/>
            <w:noWrap/>
            <w:vAlign w:val="bottom"/>
            <w:hideMark/>
          </w:tcPr>
          <w:p w14:paraId="4309DEF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0.34</w:t>
            </w:r>
          </w:p>
        </w:tc>
        <w:tc>
          <w:tcPr>
            <w:tcW w:w="960" w:type="dxa"/>
            <w:tcBorders>
              <w:top w:val="nil"/>
              <w:left w:val="nil"/>
              <w:bottom w:val="single" w:sz="4" w:space="0" w:color="auto"/>
              <w:right w:val="single" w:sz="4" w:space="0" w:color="auto"/>
            </w:tcBorders>
            <w:shd w:val="clear" w:color="auto" w:fill="auto"/>
            <w:noWrap/>
            <w:vAlign w:val="bottom"/>
            <w:hideMark/>
          </w:tcPr>
          <w:p w14:paraId="6CBB6166"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0.75</w:t>
            </w:r>
          </w:p>
        </w:tc>
        <w:tc>
          <w:tcPr>
            <w:tcW w:w="960" w:type="dxa"/>
            <w:tcBorders>
              <w:top w:val="nil"/>
              <w:left w:val="nil"/>
              <w:bottom w:val="single" w:sz="4" w:space="0" w:color="auto"/>
              <w:right w:val="nil"/>
            </w:tcBorders>
            <w:shd w:val="clear" w:color="000000" w:fill="D9D9D9"/>
            <w:noWrap/>
            <w:vAlign w:val="bottom"/>
            <w:hideMark/>
          </w:tcPr>
          <w:p w14:paraId="6B9484A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7758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B30684"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w:t>
            </w:r>
          </w:p>
        </w:tc>
        <w:tc>
          <w:tcPr>
            <w:tcW w:w="1420" w:type="dxa"/>
            <w:tcBorders>
              <w:top w:val="nil"/>
              <w:left w:val="nil"/>
              <w:bottom w:val="single" w:sz="4" w:space="0" w:color="auto"/>
              <w:right w:val="single" w:sz="8" w:space="0" w:color="auto"/>
            </w:tcBorders>
            <w:shd w:val="clear" w:color="000000" w:fill="FFFF00"/>
            <w:noWrap/>
            <w:vAlign w:val="bottom"/>
            <w:hideMark/>
          </w:tcPr>
          <w:p w14:paraId="5E0DC0CE" w14:textId="77777777" w:rsidR="00E664C6" w:rsidRPr="00E664C6" w:rsidRDefault="00E664C6" w:rsidP="00E664C6">
            <w:pPr>
              <w:spacing w:after="0" w:line="240" w:lineRule="auto"/>
              <w:jc w:val="right"/>
              <w:rPr>
                <w:rFonts w:ascii="Arial" w:eastAsia="Times New Roman" w:hAnsi="Arial" w:cs="Arial"/>
                <w:color w:val="000000"/>
                <w:sz w:val="20"/>
                <w:szCs w:val="20"/>
                <w:lang w:eastAsia="en-AU"/>
              </w:rPr>
            </w:pPr>
            <w:r w:rsidRPr="00E664C6">
              <w:rPr>
                <w:rFonts w:ascii="Arial" w:eastAsia="Times New Roman" w:hAnsi="Arial" w:cs="Arial"/>
                <w:color w:val="000000"/>
                <w:sz w:val="20"/>
                <w:szCs w:val="20"/>
                <w:lang w:eastAsia="en-AU"/>
              </w:rPr>
              <w:t xml:space="preserve">          118,697 </w:t>
            </w:r>
          </w:p>
        </w:tc>
      </w:tr>
      <w:tr w:rsidR="00E664C6" w:rsidRPr="00E664C6" w14:paraId="69F5ACDE" w14:textId="77777777" w:rsidTr="00E664C6">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14:paraId="3987D82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 </w:t>
            </w:r>
          </w:p>
        </w:tc>
        <w:tc>
          <w:tcPr>
            <w:tcW w:w="960" w:type="dxa"/>
            <w:tcBorders>
              <w:top w:val="nil"/>
              <w:left w:val="nil"/>
              <w:bottom w:val="single" w:sz="8" w:space="0" w:color="auto"/>
              <w:right w:val="single" w:sz="4" w:space="0" w:color="auto"/>
            </w:tcBorders>
            <w:shd w:val="clear" w:color="auto" w:fill="auto"/>
            <w:noWrap/>
            <w:vAlign w:val="bottom"/>
            <w:hideMark/>
          </w:tcPr>
          <w:p w14:paraId="2B7B3A03" w14:textId="77777777" w:rsidR="00E664C6" w:rsidRPr="00E664C6" w:rsidRDefault="00E664C6" w:rsidP="00E664C6">
            <w:pPr>
              <w:spacing w:after="0" w:line="240" w:lineRule="auto"/>
              <w:jc w:val="right"/>
              <w:rPr>
                <w:rFonts w:ascii="Calibri" w:eastAsia="Times New Roman" w:hAnsi="Calibri" w:cs="Calibri"/>
                <w:color w:val="000000"/>
                <w:lang w:eastAsia="en-AU"/>
              </w:rPr>
            </w:pPr>
            <w:r w:rsidRPr="00E664C6">
              <w:rPr>
                <w:rFonts w:ascii="Calibri" w:eastAsia="Times New Roman" w:hAnsi="Calibri" w:cs="Calibri"/>
                <w:color w:val="000000"/>
                <w:lang w:eastAsia="en-AU"/>
              </w:rPr>
              <w:t>298.89</w:t>
            </w:r>
          </w:p>
        </w:tc>
        <w:tc>
          <w:tcPr>
            <w:tcW w:w="960" w:type="dxa"/>
            <w:tcBorders>
              <w:top w:val="nil"/>
              <w:left w:val="nil"/>
              <w:bottom w:val="single" w:sz="8" w:space="0" w:color="auto"/>
              <w:right w:val="single" w:sz="4" w:space="0" w:color="auto"/>
            </w:tcBorders>
            <w:shd w:val="clear" w:color="auto" w:fill="auto"/>
            <w:noWrap/>
            <w:vAlign w:val="bottom"/>
            <w:hideMark/>
          </w:tcPr>
          <w:p w14:paraId="316D5EA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112.15</w:t>
            </w:r>
          </w:p>
        </w:tc>
        <w:tc>
          <w:tcPr>
            <w:tcW w:w="960" w:type="dxa"/>
            <w:tcBorders>
              <w:top w:val="nil"/>
              <w:left w:val="nil"/>
              <w:bottom w:val="single" w:sz="8" w:space="0" w:color="auto"/>
              <w:right w:val="nil"/>
            </w:tcBorders>
            <w:shd w:val="clear" w:color="auto" w:fill="auto"/>
            <w:noWrap/>
            <w:vAlign w:val="bottom"/>
            <w:hideMark/>
          </w:tcPr>
          <w:p w14:paraId="4BD422A6" w14:textId="77777777" w:rsidR="00E664C6" w:rsidRPr="00E664C6" w:rsidRDefault="00E664C6" w:rsidP="00E664C6">
            <w:pPr>
              <w:spacing w:after="0" w:line="240" w:lineRule="auto"/>
              <w:rPr>
                <w:rFonts w:ascii="Calibri" w:eastAsia="Times New Roman" w:hAnsi="Calibri" w:cs="Calibri"/>
                <w:color w:val="000000"/>
                <w:lang w:eastAsia="en-AU"/>
              </w:rPr>
            </w:pPr>
            <w:r w:rsidRPr="00E664C6">
              <w:rPr>
                <w:rFonts w:ascii="Calibri" w:eastAsia="Times New Roman" w:hAnsi="Calibri" w:cs="Calibri"/>
                <w:color w:val="000000"/>
                <w:lang w:eastAsia="en-AU"/>
              </w:rPr>
              <w:t> </w:t>
            </w:r>
          </w:p>
        </w:tc>
        <w:tc>
          <w:tcPr>
            <w:tcW w:w="960" w:type="dxa"/>
            <w:tcBorders>
              <w:top w:val="nil"/>
              <w:left w:val="nil"/>
              <w:bottom w:val="single" w:sz="8" w:space="0" w:color="auto"/>
              <w:right w:val="nil"/>
            </w:tcBorders>
            <w:shd w:val="clear" w:color="auto" w:fill="auto"/>
            <w:noWrap/>
            <w:vAlign w:val="bottom"/>
            <w:hideMark/>
          </w:tcPr>
          <w:p w14:paraId="2442242E"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 </w:t>
            </w:r>
          </w:p>
        </w:tc>
        <w:tc>
          <w:tcPr>
            <w:tcW w:w="960" w:type="dxa"/>
            <w:tcBorders>
              <w:top w:val="nil"/>
              <w:left w:val="nil"/>
              <w:bottom w:val="single" w:sz="8" w:space="0" w:color="auto"/>
              <w:right w:val="nil"/>
            </w:tcBorders>
            <w:shd w:val="clear" w:color="auto" w:fill="auto"/>
            <w:noWrap/>
            <w:vAlign w:val="bottom"/>
            <w:hideMark/>
          </w:tcPr>
          <w:p w14:paraId="1872C571"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 </w:t>
            </w:r>
          </w:p>
        </w:tc>
        <w:tc>
          <w:tcPr>
            <w:tcW w:w="960" w:type="dxa"/>
            <w:tcBorders>
              <w:top w:val="nil"/>
              <w:left w:val="nil"/>
              <w:bottom w:val="single" w:sz="8" w:space="0" w:color="auto"/>
              <w:right w:val="nil"/>
            </w:tcBorders>
            <w:shd w:val="clear" w:color="auto" w:fill="auto"/>
            <w:noWrap/>
            <w:vAlign w:val="bottom"/>
            <w:hideMark/>
          </w:tcPr>
          <w:p w14:paraId="060D3388" w14:textId="77777777" w:rsidR="00E664C6" w:rsidRPr="00E664C6" w:rsidRDefault="00E664C6" w:rsidP="00E664C6">
            <w:pPr>
              <w:spacing w:after="0" w:line="240" w:lineRule="auto"/>
              <w:jc w:val="center"/>
              <w:rPr>
                <w:rFonts w:ascii="Calibri" w:eastAsia="Times New Roman" w:hAnsi="Calibri" w:cs="Calibri"/>
                <w:color w:val="000000"/>
                <w:lang w:eastAsia="en-AU"/>
              </w:rPr>
            </w:pPr>
            <w:r w:rsidRPr="00E664C6">
              <w:rPr>
                <w:rFonts w:ascii="Calibri" w:eastAsia="Times New Roman" w:hAnsi="Calibri" w:cs="Calibri"/>
                <w:color w:val="000000"/>
                <w:lang w:eastAsia="en-AU"/>
              </w:rPr>
              <w:t> </w:t>
            </w:r>
          </w:p>
        </w:tc>
        <w:tc>
          <w:tcPr>
            <w:tcW w:w="1420" w:type="dxa"/>
            <w:tcBorders>
              <w:top w:val="nil"/>
              <w:left w:val="single" w:sz="4" w:space="0" w:color="auto"/>
              <w:bottom w:val="single" w:sz="8" w:space="0" w:color="auto"/>
              <w:right w:val="single" w:sz="8" w:space="0" w:color="auto"/>
            </w:tcBorders>
            <w:shd w:val="clear" w:color="auto" w:fill="auto"/>
            <w:noWrap/>
            <w:vAlign w:val="bottom"/>
            <w:hideMark/>
          </w:tcPr>
          <w:p w14:paraId="437E93B7" w14:textId="77777777" w:rsidR="00E664C6" w:rsidRPr="00E664C6" w:rsidRDefault="00E664C6" w:rsidP="00E664C6">
            <w:pPr>
              <w:spacing w:after="0" w:line="240" w:lineRule="auto"/>
              <w:rPr>
                <w:rFonts w:ascii="Calibri" w:eastAsia="Times New Roman" w:hAnsi="Calibri" w:cs="Calibri"/>
                <w:color w:val="000000"/>
                <w:lang w:eastAsia="en-AU"/>
              </w:rPr>
            </w:pPr>
            <w:r w:rsidRPr="00E664C6">
              <w:rPr>
                <w:rFonts w:ascii="Calibri" w:eastAsia="Times New Roman" w:hAnsi="Calibri" w:cs="Calibri"/>
                <w:color w:val="000000"/>
                <w:lang w:eastAsia="en-AU"/>
              </w:rPr>
              <w:t xml:space="preserve">       70,781,337 </w:t>
            </w:r>
          </w:p>
        </w:tc>
      </w:tr>
    </w:tbl>
    <w:p w14:paraId="48104440" w14:textId="44CFAFB2" w:rsidR="00E664C6" w:rsidRDefault="00E664C6" w:rsidP="00E664C6"/>
    <w:p w14:paraId="169F35C2" w14:textId="452CDE4F" w:rsidR="00E664C6" w:rsidRDefault="00E664C6" w:rsidP="00E664C6">
      <w:r>
        <w:br w:type="page"/>
      </w:r>
    </w:p>
    <w:p w14:paraId="01818C52" w14:textId="2DB050F2" w:rsidR="00F171B4" w:rsidRDefault="00E85865" w:rsidP="00E85865">
      <w:pPr>
        <w:pStyle w:val="Heading1"/>
      </w:pPr>
      <w:bookmarkStart w:id="33" w:name="_Toc109039060"/>
      <w:r>
        <w:lastRenderedPageBreak/>
        <w:t xml:space="preserve">Appendix </w:t>
      </w:r>
      <w:r w:rsidR="00E664C6">
        <w:t>3</w:t>
      </w:r>
      <w:r>
        <w:t>: Greenflame Trinidad &amp; Tobago Investor Presentation</w:t>
      </w:r>
      <w:bookmarkEnd w:id="33"/>
    </w:p>
    <w:p w14:paraId="70581E2F" w14:textId="544D5D26" w:rsidR="00E85865" w:rsidRDefault="00E85865" w:rsidP="00F171B4"/>
    <w:p w14:paraId="36FB5731" w14:textId="13EFEE0D" w:rsidR="00E85865" w:rsidRDefault="00E85865" w:rsidP="00F171B4">
      <w:r w:rsidRPr="00E85865">
        <w:rPr>
          <w:noProof/>
        </w:rPr>
        <w:drawing>
          <wp:inline distT="0" distB="0" distL="0" distR="0" wp14:anchorId="64DB73B8" wp14:editId="3F406514">
            <wp:extent cx="5731510" cy="3225165"/>
            <wp:effectExtent l="0" t="0" r="2540" b="0"/>
            <wp:docPr id="7" name="Picture 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ogo&#10;&#10;Description automatically generated"/>
                    <pic:cNvPicPr/>
                  </pic:nvPicPr>
                  <pic:blipFill>
                    <a:blip r:embed="rId51"/>
                    <a:stretch>
                      <a:fillRect/>
                    </a:stretch>
                  </pic:blipFill>
                  <pic:spPr>
                    <a:xfrm>
                      <a:off x="0" y="0"/>
                      <a:ext cx="5731510" cy="3225165"/>
                    </a:xfrm>
                    <a:prstGeom prst="rect">
                      <a:avLst/>
                    </a:prstGeom>
                  </pic:spPr>
                </pic:pic>
              </a:graphicData>
            </a:graphic>
          </wp:inline>
        </w:drawing>
      </w:r>
    </w:p>
    <w:p w14:paraId="768C372B" w14:textId="77777777" w:rsidR="00E85865" w:rsidRDefault="00E85865" w:rsidP="00F171B4"/>
    <w:p w14:paraId="59A499EB" w14:textId="7C2D73A3" w:rsidR="00E85865" w:rsidRDefault="00E85865" w:rsidP="00F171B4">
      <w:r w:rsidRPr="00E85865">
        <w:rPr>
          <w:noProof/>
        </w:rPr>
        <w:drawing>
          <wp:inline distT="0" distB="0" distL="0" distR="0" wp14:anchorId="460AC5CD" wp14:editId="74058C9A">
            <wp:extent cx="5731510" cy="3223895"/>
            <wp:effectExtent l="0" t="0" r="2540" b="0"/>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52"/>
                    <a:stretch>
                      <a:fillRect/>
                    </a:stretch>
                  </pic:blipFill>
                  <pic:spPr>
                    <a:xfrm>
                      <a:off x="0" y="0"/>
                      <a:ext cx="5731510" cy="3223895"/>
                    </a:xfrm>
                    <a:prstGeom prst="rect">
                      <a:avLst/>
                    </a:prstGeom>
                  </pic:spPr>
                </pic:pic>
              </a:graphicData>
            </a:graphic>
          </wp:inline>
        </w:drawing>
      </w:r>
    </w:p>
    <w:p w14:paraId="76BA40B4" w14:textId="7899CB4B" w:rsidR="00E85865" w:rsidRDefault="00E85865" w:rsidP="00F171B4">
      <w:r w:rsidRPr="00E85865">
        <w:rPr>
          <w:noProof/>
        </w:rPr>
        <w:lastRenderedPageBreak/>
        <w:drawing>
          <wp:inline distT="0" distB="0" distL="0" distR="0" wp14:anchorId="446A1301" wp14:editId="3989DAC0">
            <wp:extent cx="5731510" cy="3235325"/>
            <wp:effectExtent l="0" t="0" r="2540" b="3175"/>
            <wp:docPr id="9" name="Picture 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with medium confidence"/>
                    <pic:cNvPicPr/>
                  </pic:nvPicPr>
                  <pic:blipFill>
                    <a:blip r:embed="rId53"/>
                    <a:stretch>
                      <a:fillRect/>
                    </a:stretch>
                  </pic:blipFill>
                  <pic:spPr>
                    <a:xfrm>
                      <a:off x="0" y="0"/>
                      <a:ext cx="5731510" cy="3235325"/>
                    </a:xfrm>
                    <a:prstGeom prst="rect">
                      <a:avLst/>
                    </a:prstGeom>
                  </pic:spPr>
                </pic:pic>
              </a:graphicData>
            </a:graphic>
          </wp:inline>
        </w:drawing>
      </w:r>
    </w:p>
    <w:p w14:paraId="3F18EA64" w14:textId="39E4D8C4" w:rsidR="00E85865" w:rsidRDefault="00E85865" w:rsidP="00F171B4"/>
    <w:p w14:paraId="1B5CBA43" w14:textId="4281261F" w:rsidR="00E85865" w:rsidRDefault="00E85865" w:rsidP="00F171B4">
      <w:r w:rsidRPr="00E85865">
        <w:rPr>
          <w:noProof/>
        </w:rPr>
        <w:drawing>
          <wp:inline distT="0" distB="0" distL="0" distR="0" wp14:anchorId="62E91D2D" wp14:editId="47FFFC5C">
            <wp:extent cx="5731510" cy="3218815"/>
            <wp:effectExtent l="0" t="0" r="2540" b="635"/>
            <wp:docPr id="12" name="Picture 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10;&#10;Description automatically generated"/>
                    <pic:cNvPicPr/>
                  </pic:nvPicPr>
                  <pic:blipFill>
                    <a:blip r:embed="rId54"/>
                    <a:stretch>
                      <a:fillRect/>
                    </a:stretch>
                  </pic:blipFill>
                  <pic:spPr>
                    <a:xfrm>
                      <a:off x="0" y="0"/>
                      <a:ext cx="5731510" cy="3218815"/>
                    </a:xfrm>
                    <a:prstGeom prst="rect">
                      <a:avLst/>
                    </a:prstGeom>
                  </pic:spPr>
                </pic:pic>
              </a:graphicData>
            </a:graphic>
          </wp:inline>
        </w:drawing>
      </w:r>
    </w:p>
    <w:p w14:paraId="6FA03EC9" w14:textId="7195A8D1" w:rsidR="00E85865" w:rsidRDefault="00E85865" w:rsidP="00F171B4"/>
    <w:p w14:paraId="157A4740" w14:textId="10374AF3" w:rsidR="00E85865" w:rsidRDefault="00E85865" w:rsidP="00F171B4">
      <w:r w:rsidRPr="00E85865">
        <w:rPr>
          <w:noProof/>
        </w:rPr>
        <w:lastRenderedPageBreak/>
        <w:drawing>
          <wp:inline distT="0" distB="0" distL="0" distR="0" wp14:anchorId="6C26CE98" wp14:editId="6A77C7C2">
            <wp:extent cx="5731510" cy="3231515"/>
            <wp:effectExtent l="0" t="0" r="2540" b="6985"/>
            <wp:docPr id="14" name="Picture 1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website&#10;&#10;Description automatically generated"/>
                    <pic:cNvPicPr/>
                  </pic:nvPicPr>
                  <pic:blipFill>
                    <a:blip r:embed="rId55"/>
                    <a:stretch>
                      <a:fillRect/>
                    </a:stretch>
                  </pic:blipFill>
                  <pic:spPr>
                    <a:xfrm>
                      <a:off x="0" y="0"/>
                      <a:ext cx="5731510" cy="3231515"/>
                    </a:xfrm>
                    <a:prstGeom prst="rect">
                      <a:avLst/>
                    </a:prstGeom>
                  </pic:spPr>
                </pic:pic>
              </a:graphicData>
            </a:graphic>
          </wp:inline>
        </w:drawing>
      </w:r>
    </w:p>
    <w:p w14:paraId="34430E37" w14:textId="0B8527D4" w:rsidR="00E85865" w:rsidRDefault="00E85865" w:rsidP="00F171B4"/>
    <w:p w14:paraId="0E55AD4F" w14:textId="1DD45018" w:rsidR="00E85865" w:rsidRDefault="00E85865" w:rsidP="00F171B4">
      <w:r w:rsidRPr="00E85865">
        <w:rPr>
          <w:noProof/>
        </w:rPr>
        <w:drawing>
          <wp:inline distT="0" distB="0" distL="0" distR="0" wp14:anchorId="2A50E937" wp14:editId="49D8D0EF">
            <wp:extent cx="5731510" cy="3208655"/>
            <wp:effectExtent l="0" t="0" r="2540" b="0"/>
            <wp:docPr id="16" name="Picture 1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10;&#10;Description automatically generated"/>
                    <pic:cNvPicPr/>
                  </pic:nvPicPr>
                  <pic:blipFill>
                    <a:blip r:embed="rId56"/>
                    <a:stretch>
                      <a:fillRect/>
                    </a:stretch>
                  </pic:blipFill>
                  <pic:spPr>
                    <a:xfrm>
                      <a:off x="0" y="0"/>
                      <a:ext cx="5731510" cy="3208655"/>
                    </a:xfrm>
                    <a:prstGeom prst="rect">
                      <a:avLst/>
                    </a:prstGeom>
                  </pic:spPr>
                </pic:pic>
              </a:graphicData>
            </a:graphic>
          </wp:inline>
        </w:drawing>
      </w:r>
    </w:p>
    <w:p w14:paraId="75117871" w14:textId="3A466B15" w:rsidR="00E85865" w:rsidRDefault="00E85865" w:rsidP="00F171B4"/>
    <w:p w14:paraId="3A86CAFD" w14:textId="37A08EA9" w:rsidR="00E85865" w:rsidRDefault="00B36B5A" w:rsidP="00F171B4">
      <w:r w:rsidRPr="00B36B5A">
        <w:rPr>
          <w:noProof/>
        </w:rPr>
        <w:lastRenderedPageBreak/>
        <w:drawing>
          <wp:inline distT="0" distB="0" distL="0" distR="0" wp14:anchorId="34B4B78F" wp14:editId="6375C201">
            <wp:extent cx="5731510" cy="3236595"/>
            <wp:effectExtent l="0" t="0" r="2540" b="1905"/>
            <wp:docPr id="23" name="Picture 2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histogram&#10;&#10;Description automatically generated"/>
                    <pic:cNvPicPr/>
                  </pic:nvPicPr>
                  <pic:blipFill>
                    <a:blip r:embed="rId57"/>
                    <a:stretch>
                      <a:fillRect/>
                    </a:stretch>
                  </pic:blipFill>
                  <pic:spPr>
                    <a:xfrm>
                      <a:off x="0" y="0"/>
                      <a:ext cx="5731510" cy="3236595"/>
                    </a:xfrm>
                    <a:prstGeom prst="rect">
                      <a:avLst/>
                    </a:prstGeom>
                  </pic:spPr>
                </pic:pic>
              </a:graphicData>
            </a:graphic>
          </wp:inline>
        </w:drawing>
      </w:r>
    </w:p>
    <w:p w14:paraId="258DB9A5" w14:textId="4917B706" w:rsidR="00B36B5A" w:rsidRDefault="00B36B5A" w:rsidP="00F171B4"/>
    <w:p w14:paraId="2DD530FB" w14:textId="6378B96F" w:rsidR="00B36B5A" w:rsidRDefault="00B36B5A" w:rsidP="00F171B4">
      <w:r w:rsidRPr="00B36B5A">
        <w:rPr>
          <w:noProof/>
        </w:rPr>
        <w:drawing>
          <wp:inline distT="0" distB="0" distL="0" distR="0" wp14:anchorId="719BEAF8" wp14:editId="73A030B0">
            <wp:extent cx="5731510" cy="3211830"/>
            <wp:effectExtent l="0" t="0" r="2540" b="7620"/>
            <wp:docPr id="25" name="Picture 2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imeline&#10;&#10;Description automatically generated"/>
                    <pic:cNvPicPr/>
                  </pic:nvPicPr>
                  <pic:blipFill>
                    <a:blip r:embed="rId58"/>
                    <a:stretch>
                      <a:fillRect/>
                    </a:stretch>
                  </pic:blipFill>
                  <pic:spPr>
                    <a:xfrm>
                      <a:off x="0" y="0"/>
                      <a:ext cx="5731510" cy="3211830"/>
                    </a:xfrm>
                    <a:prstGeom prst="rect">
                      <a:avLst/>
                    </a:prstGeom>
                  </pic:spPr>
                </pic:pic>
              </a:graphicData>
            </a:graphic>
          </wp:inline>
        </w:drawing>
      </w:r>
    </w:p>
    <w:p w14:paraId="296ECDF0" w14:textId="1ADF3845" w:rsidR="00B36B5A" w:rsidRDefault="00B36B5A" w:rsidP="00F171B4"/>
    <w:p w14:paraId="007E7EDF" w14:textId="2FC57E9C" w:rsidR="00B36B5A" w:rsidRDefault="00B36B5A" w:rsidP="00F171B4">
      <w:r w:rsidRPr="00B36B5A">
        <w:rPr>
          <w:noProof/>
        </w:rPr>
        <w:lastRenderedPageBreak/>
        <w:drawing>
          <wp:inline distT="0" distB="0" distL="0" distR="0" wp14:anchorId="0E8B7797" wp14:editId="6F6FD183">
            <wp:extent cx="5731510" cy="3223895"/>
            <wp:effectExtent l="0" t="0" r="2540" b="0"/>
            <wp:docPr id="28" name="Picture 28"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10;&#10;Description automatically generated with low confidence"/>
                    <pic:cNvPicPr/>
                  </pic:nvPicPr>
                  <pic:blipFill>
                    <a:blip r:embed="rId59"/>
                    <a:stretch>
                      <a:fillRect/>
                    </a:stretch>
                  </pic:blipFill>
                  <pic:spPr>
                    <a:xfrm>
                      <a:off x="0" y="0"/>
                      <a:ext cx="5731510" cy="3223895"/>
                    </a:xfrm>
                    <a:prstGeom prst="rect">
                      <a:avLst/>
                    </a:prstGeom>
                  </pic:spPr>
                </pic:pic>
              </a:graphicData>
            </a:graphic>
          </wp:inline>
        </w:drawing>
      </w:r>
    </w:p>
    <w:p w14:paraId="4696EF6D" w14:textId="276C10C0" w:rsidR="00B36B5A" w:rsidRDefault="00B36B5A" w:rsidP="00F171B4"/>
    <w:p w14:paraId="77CB5BA8" w14:textId="4ACDD121" w:rsidR="00B36B5A" w:rsidRDefault="00B36B5A" w:rsidP="00F171B4">
      <w:r w:rsidRPr="00B36B5A">
        <w:rPr>
          <w:noProof/>
        </w:rPr>
        <w:drawing>
          <wp:inline distT="0" distB="0" distL="0" distR="0" wp14:anchorId="1150C903" wp14:editId="4D798AC7">
            <wp:extent cx="5731510" cy="3219450"/>
            <wp:effectExtent l="0" t="0" r="2540" b="0"/>
            <wp:docPr id="29" name="Picture 2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website&#10;&#10;Description automatically generated"/>
                    <pic:cNvPicPr/>
                  </pic:nvPicPr>
                  <pic:blipFill>
                    <a:blip r:embed="rId60"/>
                    <a:stretch>
                      <a:fillRect/>
                    </a:stretch>
                  </pic:blipFill>
                  <pic:spPr>
                    <a:xfrm>
                      <a:off x="0" y="0"/>
                      <a:ext cx="5731510" cy="3219450"/>
                    </a:xfrm>
                    <a:prstGeom prst="rect">
                      <a:avLst/>
                    </a:prstGeom>
                  </pic:spPr>
                </pic:pic>
              </a:graphicData>
            </a:graphic>
          </wp:inline>
        </w:drawing>
      </w:r>
    </w:p>
    <w:p w14:paraId="54DCBAD9" w14:textId="32F90B32" w:rsidR="00B36B5A" w:rsidRDefault="00B36B5A" w:rsidP="00F171B4"/>
    <w:p w14:paraId="172F5A61" w14:textId="4CBDA5D4" w:rsidR="00B36B5A" w:rsidRDefault="00B36B5A" w:rsidP="00F171B4">
      <w:r w:rsidRPr="00B36B5A">
        <w:rPr>
          <w:noProof/>
        </w:rPr>
        <w:lastRenderedPageBreak/>
        <w:drawing>
          <wp:inline distT="0" distB="0" distL="0" distR="0" wp14:anchorId="12429287" wp14:editId="37F8540F">
            <wp:extent cx="5731510" cy="3220085"/>
            <wp:effectExtent l="0" t="0" r="2540" b="0"/>
            <wp:docPr id="36" name="Picture 3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10;&#10;Description automatically generated"/>
                    <pic:cNvPicPr/>
                  </pic:nvPicPr>
                  <pic:blipFill>
                    <a:blip r:embed="rId61"/>
                    <a:stretch>
                      <a:fillRect/>
                    </a:stretch>
                  </pic:blipFill>
                  <pic:spPr>
                    <a:xfrm>
                      <a:off x="0" y="0"/>
                      <a:ext cx="5731510" cy="3220085"/>
                    </a:xfrm>
                    <a:prstGeom prst="rect">
                      <a:avLst/>
                    </a:prstGeom>
                  </pic:spPr>
                </pic:pic>
              </a:graphicData>
            </a:graphic>
          </wp:inline>
        </w:drawing>
      </w:r>
    </w:p>
    <w:p w14:paraId="228FA2D0" w14:textId="7B65D582" w:rsidR="00B36B5A" w:rsidRDefault="00B36B5A" w:rsidP="00F171B4"/>
    <w:p w14:paraId="0CBCD52A" w14:textId="4948923F" w:rsidR="00B36B5A" w:rsidRDefault="00B36B5A" w:rsidP="00F171B4">
      <w:r w:rsidRPr="00B36B5A">
        <w:rPr>
          <w:noProof/>
        </w:rPr>
        <w:drawing>
          <wp:inline distT="0" distB="0" distL="0" distR="0" wp14:anchorId="3A2F6733" wp14:editId="4C7540ED">
            <wp:extent cx="5731510" cy="3207385"/>
            <wp:effectExtent l="0" t="0" r="2540" b="0"/>
            <wp:docPr id="37" name="Picture 37" descr="A picture containing text,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tree, outdoor&#10;&#10;Description automatically generated"/>
                    <pic:cNvPicPr/>
                  </pic:nvPicPr>
                  <pic:blipFill>
                    <a:blip r:embed="rId62"/>
                    <a:stretch>
                      <a:fillRect/>
                    </a:stretch>
                  </pic:blipFill>
                  <pic:spPr>
                    <a:xfrm>
                      <a:off x="0" y="0"/>
                      <a:ext cx="5731510" cy="3207385"/>
                    </a:xfrm>
                    <a:prstGeom prst="rect">
                      <a:avLst/>
                    </a:prstGeom>
                  </pic:spPr>
                </pic:pic>
              </a:graphicData>
            </a:graphic>
          </wp:inline>
        </w:drawing>
      </w:r>
    </w:p>
    <w:p w14:paraId="001F660A" w14:textId="4F9A375E" w:rsidR="00B36B5A" w:rsidRDefault="00B36B5A" w:rsidP="00F171B4"/>
    <w:p w14:paraId="6A4AF1A8" w14:textId="19A85159" w:rsidR="00B36B5A" w:rsidRDefault="00B36B5A" w:rsidP="00F171B4">
      <w:r w:rsidRPr="00B36B5A">
        <w:rPr>
          <w:noProof/>
        </w:rPr>
        <w:lastRenderedPageBreak/>
        <w:drawing>
          <wp:inline distT="0" distB="0" distL="0" distR="0" wp14:anchorId="7957206E" wp14:editId="33608A59">
            <wp:extent cx="5731510" cy="3227705"/>
            <wp:effectExtent l="0" t="0" r="2540" b="0"/>
            <wp:docPr id="38" name="Picture 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text, application&#10;&#10;Description automatically generated"/>
                    <pic:cNvPicPr/>
                  </pic:nvPicPr>
                  <pic:blipFill>
                    <a:blip r:embed="rId63"/>
                    <a:stretch>
                      <a:fillRect/>
                    </a:stretch>
                  </pic:blipFill>
                  <pic:spPr>
                    <a:xfrm>
                      <a:off x="0" y="0"/>
                      <a:ext cx="5731510" cy="3227705"/>
                    </a:xfrm>
                    <a:prstGeom prst="rect">
                      <a:avLst/>
                    </a:prstGeom>
                  </pic:spPr>
                </pic:pic>
              </a:graphicData>
            </a:graphic>
          </wp:inline>
        </w:drawing>
      </w:r>
    </w:p>
    <w:p w14:paraId="69459514" w14:textId="2D7500A0" w:rsidR="00B36B5A" w:rsidRDefault="00B36B5A" w:rsidP="00F171B4"/>
    <w:p w14:paraId="7CA5C43A" w14:textId="2C1ABC45" w:rsidR="00B36B5A" w:rsidRDefault="00B36B5A" w:rsidP="00F171B4">
      <w:r w:rsidRPr="00B36B5A">
        <w:rPr>
          <w:noProof/>
        </w:rPr>
        <w:drawing>
          <wp:inline distT="0" distB="0" distL="0" distR="0" wp14:anchorId="737359C7" wp14:editId="4CE2992A">
            <wp:extent cx="5731510" cy="3211195"/>
            <wp:effectExtent l="0" t="0" r="2540" b="8255"/>
            <wp:docPr id="40" name="Picture 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10;&#10;Description automatically generated"/>
                    <pic:cNvPicPr/>
                  </pic:nvPicPr>
                  <pic:blipFill>
                    <a:blip r:embed="rId64"/>
                    <a:stretch>
                      <a:fillRect/>
                    </a:stretch>
                  </pic:blipFill>
                  <pic:spPr>
                    <a:xfrm>
                      <a:off x="0" y="0"/>
                      <a:ext cx="5731510" cy="3211195"/>
                    </a:xfrm>
                    <a:prstGeom prst="rect">
                      <a:avLst/>
                    </a:prstGeom>
                  </pic:spPr>
                </pic:pic>
              </a:graphicData>
            </a:graphic>
          </wp:inline>
        </w:drawing>
      </w:r>
    </w:p>
    <w:p w14:paraId="18B57F02" w14:textId="05D61E56" w:rsidR="00B36B5A" w:rsidRDefault="00B36B5A" w:rsidP="00F171B4"/>
    <w:p w14:paraId="02567BF9" w14:textId="74323842" w:rsidR="00B36B5A" w:rsidRDefault="00B36B5A" w:rsidP="00F171B4">
      <w:r w:rsidRPr="00B36B5A">
        <w:rPr>
          <w:noProof/>
        </w:rPr>
        <w:lastRenderedPageBreak/>
        <w:drawing>
          <wp:inline distT="0" distB="0" distL="0" distR="0" wp14:anchorId="0222A00C" wp14:editId="556A9064">
            <wp:extent cx="5731510" cy="3225800"/>
            <wp:effectExtent l="0" t="0" r="2540" b="0"/>
            <wp:docPr id="43" name="Picture 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10;&#10;Description automatically generated"/>
                    <pic:cNvPicPr/>
                  </pic:nvPicPr>
                  <pic:blipFill>
                    <a:blip r:embed="rId65"/>
                    <a:stretch>
                      <a:fillRect/>
                    </a:stretch>
                  </pic:blipFill>
                  <pic:spPr>
                    <a:xfrm>
                      <a:off x="0" y="0"/>
                      <a:ext cx="5731510" cy="3225800"/>
                    </a:xfrm>
                    <a:prstGeom prst="rect">
                      <a:avLst/>
                    </a:prstGeom>
                  </pic:spPr>
                </pic:pic>
              </a:graphicData>
            </a:graphic>
          </wp:inline>
        </w:drawing>
      </w:r>
    </w:p>
    <w:p w14:paraId="45A54219" w14:textId="6FE59850" w:rsidR="00B36B5A" w:rsidRDefault="00B36B5A" w:rsidP="00F171B4"/>
    <w:p w14:paraId="56113018" w14:textId="3292D057" w:rsidR="00B36B5A" w:rsidRDefault="00B36B5A" w:rsidP="00F171B4">
      <w:r w:rsidRPr="00B36B5A">
        <w:rPr>
          <w:noProof/>
        </w:rPr>
        <w:drawing>
          <wp:inline distT="0" distB="0" distL="0" distR="0" wp14:anchorId="03B66569" wp14:editId="7C9D1DF2">
            <wp:extent cx="5731510" cy="3225165"/>
            <wp:effectExtent l="0" t="0" r="2540" b="0"/>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10;&#10;Description automatically generated"/>
                    <pic:cNvPicPr/>
                  </pic:nvPicPr>
                  <pic:blipFill>
                    <a:blip r:embed="rId66"/>
                    <a:stretch>
                      <a:fillRect/>
                    </a:stretch>
                  </pic:blipFill>
                  <pic:spPr>
                    <a:xfrm>
                      <a:off x="0" y="0"/>
                      <a:ext cx="5731510" cy="3225165"/>
                    </a:xfrm>
                    <a:prstGeom prst="rect">
                      <a:avLst/>
                    </a:prstGeom>
                  </pic:spPr>
                </pic:pic>
              </a:graphicData>
            </a:graphic>
          </wp:inline>
        </w:drawing>
      </w:r>
    </w:p>
    <w:p w14:paraId="454F6429" w14:textId="11C24879" w:rsidR="00B36B5A" w:rsidRDefault="00B36B5A" w:rsidP="00F171B4"/>
    <w:p w14:paraId="6562F9AF" w14:textId="190852D7" w:rsidR="00B36B5A" w:rsidRDefault="00B36B5A" w:rsidP="00F171B4">
      <w:r w:rsidRPr="00B36B5A">
        <w:rPr>
          <w:noProof/>
        </w:rPr>
        <w:lastRenderedPageBreak/>
        <w:drawing>
          <wp:inline distT="0" distB="0" distL="0" distR="0" wp14:anchorId="13AE3810" wp14:editId="4F98191D">
            <wp:extent cx="5731510" cy="3211195"/>
            <wp:effectExtent l="0" t="0" r="2540" b="8255"/>
            <wp:docPr id="45" name="Picture 4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10;&#10;Description automatically generated"/>
                    <pic:cNvPicPr/>
                  </pic:nvPicPr>
                  <pic:blipFill>
                    <a:blip r:embed="rId67"/>
                    <a:stretch>
                      <a:fillRect/>
                    </a:stretch>
                  </pic:blipFill>
                  <pic:spPr>
                    <a:xfrm>
                      <a:off x="0" y="0"/>
                      <a:ext cx="5731510" cy="3211195"/>
                    </a:xfrm>
                    <a:prstGeom prst="rect">
                      <a:avLst/>
                    </a:prstGeom>
                  </pic:spPr>
                </pic:pic>
              </a:graphicData>
            </a:graphic>
          </wp:inline>
        </w:drawing>
      </w:r>
    </w:p>
    <w:p w14:paraId="6F5ECBC2" w14:textId="22BBC086" w:rsidR="00B36B5A" w:rsidRDefault="00B36B5A" w:rsidP="00F171B4"/>
    <w:p w14:paraId="17D58FA7" w14:textId="0362FE8E" w:rsidR="00B36B5A" w:rsidRDefault="00B36B5A" w:rsidP="00F171B4">
      <w:r w:rsidRPr="00B36B5A">
        <w:rPr>
          <w:noProof/>
        </w:rPr>
        <w:drawing>
          <wp:inline distT="0" distB="0" distL="0" distR="0" wp14:anchorId="5136D310" wp14:editId="7E18402D">
            <wp:extent cx="5731510" cy="3225165"/>
            <wp:effectExtent l="0" t="0" r="2540" b="0"/>
            <wp:docPr id="47" name="Picture 4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website&#10;&#10;Description automatically generated"/>
                    <pic:cNvPicPr/>
                  </pic:nvPicPr>
                  <pic:blipFill>
                    <a:blip r:embed="rId68"/>
                    <a:stretch>
                      <a:fillRect/>
                    </a:stretch>
                  </pic:blipFill>
                  <pic:spPr>
                    <a:xfrm>
                      <a:off x="0" y="0"/>
                      <a:ext cx="5731510" cy="3225165"/>
                    </a:xfrm>
                    <a:prstGeom prst="rect">
                      <a:avLst/>
                    </a:prstGeom>
                  </pic:spPr>
                </pic:pic>
              </a:graphicData>
            </a:graphic>
          </wp:inline>
        </w:drawing>
      </w:r>
    </w:p>
    <w:p w14:paraId="07CC38F9" w14:textId="40B26274" w:rsidR="00B36B5A" w:rsidRDefault="00B36B5A" w:rsidP="00F171B4"/>
    <w:p w14:paraId="1677C63F" w14:textId="4281354C" w:rsidR="00B36B5A" w:rsidRDefault="0029158D" w:rsidP="00F171B4">
      <w:r w:rsidRPr="0029158D">
        <w:rPr>
          <w:noProof/>
        </w:rPr>
        <w:lastRenderedPageBreak/>
        <w:drawing>
          <wp:inline distT="0" distB="0" distL="0" distR="0" wp14:anchorId="660ADA1E" wp14:editId="75546A5C">
            <wp:extent cx="5731510" cy="3209925"/>
            <wp:effectExtent l="0" t="0" r="2540" b="9525"/>
            <wp:docPr id="48" name="Picture 48" descr="A picture containing text, tree, outdoor, ai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 tree, outdoor, aircraft&#10;&#10;Description automatically generated"/>
                    <pic:cNvPicPr/>
                  </pic:nvPicPr>
                  <pic:blipFill>
                    <a:blip r:embed="rId69"/>
                    <a:stretch>
                      <a:fillRect/>
                    </a:stretch>
                  </pic:blipFill>
                  <pic:spPr>
                    <a:xfrm>
                      <a:off x="0" y="0"/>
                      <a:ext cx="5731510" cy="3209925"/>
                    </a:xfrm>
                    <a:prstGeom prst="rect">
                      <a:avLst/>
                    </a:prstGeom>
                  </pic:spPr>
                </pic:pic>
              </a:graphicData>
            </a:graphic>
          </wp:inline>
        </w:drawing>
      </w:r>
    </w:p>
    <w:p w14:paraId="71E67168" w14:textId="3099A9F4" w:rsidR="0029158D" w:rsidRDefault="0029158D" w:rsidP="00F171B4"/>
    <w:p w14:paraId="1219C332" w14:textId="5FF899E4" w:rsidR="0029158D" w:rsidRDefault="0029158D" w:rsidP="00F171B4">
      <w:r w:rsidRPr="0029158D">
        <w:rPr>
          <w:noProof/>
        </w:rPr>
        <w:drawing>
          <wp:inline distT="0" distB="0" distL="0" distR="0" wp14:anchorId="08CDF69A" wp14:editId="73E2D454">
            <wp:extent cx="5731510" cy="3220085"/>
            <wp:effectExtent l="0" t="0" r="2540" b="0"/>
            <wp:docPr id="50" name="Picture 5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graphical user interface&#10;&#10;Description automatically generated"/>
                    <pic:cNvPicPr/>
                  </pic:nvPicPr>
                  <pic:blipFill>
                    <a:blip r:embed="rId70"/>
                    <a:stretch>
                      <a:fillRect/>
                    </a:stretch>
                  </pic:blipFill>
                  <pic:spPr>
                    <a:xfrm>
                      <a:off x="0" y="0"/>
                      <a:ext cx="5731510" cy="3220085"/>
                    </a:xfrm>
                    <a:prstGeom prst="rect">
                      <a:avLst/>
                    </a:prstGeom>
                  </pic:spPr>
                </pic:pic>
              </a:graphicData>
            </a:graphic>
          </wp:inline>
        </w:drawing>
      </w:r>
    </w:p>
    <w:p w14:paraId="5F34B7F0" w14:textId="0481528D" w:rsidR="0029158D" w:rsidRDefault="0029158D" w:rsidP="00F171B4"/>
    <w:p w14:paraId="70488EF6" w14:textId="206FBC19" w:rsidR="0029158D" w:rsidRDefault="0029158D" w:rsidP="00F171B4">
      <w:r w:rsidRPr="0029158D">
        <w:rPr>
          <w:noProof/>
        </w:rPr>
        <w:lastRenderedPageBreak/>
        <w:drawing>
          <wp:inline distT="0" distB="0" distL="0" distR="0" wp14:anchorId="603947F7" wp14:editId="1A0A83D2">
            <wp:extent cx="5731510" cy="3214370"/>
            <wp:effectExtent l="0" t="0" r="2540" b="5080"/>
            <wp:docPr id="51" name="Picture 51"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website&#10;&#10;Description automatically generated"/>
                    <pic:cNvPicPr/>
                  </pic:nvPicPr>
                  <pic:blipFill>
                    <a:blip r:embed="rId71"/>
                    <a:stretch>
                      <a:fillRect/>
                    </a:stretch>
                  </pic:blipFill>
                  <pic:spPr>
                    <a:xfrm>
                      <a:off x="0" y="0"/>
                      <a:ext cx="5731510" cy="3214370"/>
                    </a:xfrm>
                    <a:prstGeom prst="rect">
                      <a:avLst/>
                    </a:prstGeom>
                  </pic:spPr>
                </pic:pic>
              </a:graphicData>
            </a:graphic>
          </wp:inline>
        </w:drawing>
      </w:r>
    </w:p>
    <w:p w14:paraId="798FD662" w14:textId="1E205C7F" w:rsidR="0029158D" w:rsidRDefault="0029158D" w:rsidP="00F171B4"/>
    <w:p w14:paraId="5A894761" w14:textId="409EB09A" w:rsidR="0029158D" w:rsidRDefault="0029158D" w:rsidP="00F171B4">
      <w:r w:rsidRPr="0029158D">
        <w:rPr>
          <w:noProof/>
        </w:rPr>
        <w:drawing>
          <wp:inline distT="0" distB="0" distL="0" distR="0" wp14:anchorId="5CC1FBD5" wp14:editId="635EA2F6">
            <wp:extent cx="5731510" cy="3220720"/>
            <wp:effectExtent l="0" t="0" r="2540" b="0"/>
            <wp:docPr id="52" name="Picture 5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website&#10;&#10;Description automatically generated"/>
                    <pic:cNvPicPr/>
                  </pic:nvPicPr>
                  <pic:blipFill>
                    <a:blip r:embed="rId72"/>
                    <a:stretch>
                      <a:fillRect/>
                    </a:stretch>
                  </pic:blipFill>
                  <pic:spPr>
                    <a:xfrm>
                      <a:off x="0" y="0"/>
                      <a:ext cx="5731510" cy="3220720"/>
                    </a:xfrm>
                    <a:prstGeom prst="rect">
                      <a:avLst/>
                    </a:prstGeom>
                  </pic:spPr>
                </pic:pic>
              </a:graphicData>
            </a:graphic>
          </wp:inline>
        </w:drawing>
      </w:r>
    </w:p>
    <w:p w14:paraId="22E9D9BE" w14:textId="005300AE" w:rsidR="0029158D" w:rsidRDefault="0029158D" w:rsidP="00F171B4"/>
    <w:p w14:paraId="0B4DBE99" w14:textId="116EDF47" w:rsidR="0029158D" w:rsidRDefault="0029158D" w:rsidP="00F171B4">
      <w:r w:rsidRPr="0029158D">
        <w:rPr>
          <w:noProof/>
        </w:rPr>
        <w:lastRenderedPageBreak/>
        <w:drawing>
          <wp:inline distT="0" distB="0" distL="0" distR="0" wp14:anchorId="10DA6AE2" wp14:editId="5C3FAA23">
            <wp:extent cx="5731510" cy="3207385"/>
            <wp:effectExtent l="0" t="0" r="2540" b="0"/>
            <wp:docPr id="53" name="Picture 5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10;&#10;Description automatically generated with medium confidence"/>
                    <pic:cNvPicPr/>
                  </pic:nvPicPr>
                  <pic:blipFill>
                    <a:blip r:embed="rId73"/>
                    <a:stretch>
                      <a:fillRect/>
                    </a:stretch>
                  </pic:blipFill>
                  <pic:spPr>
                    <a:xfrm>
                      <a:off x="0" y="0"/>
                      <a:ext cx="5731510" cy="3207385"/>
                    </a:xfrm>
                    <a:prstGeom prst="rect">
                      <a:avLst/>
                    </a:prstGeom>
                  </pic:spPr>
                </pic:pic>
              </a:graphicData>
            </a:graphic>
          </wp:inline>
        </w:drawing>
      </w:r>
    </w:p>
    <w:p w14:paraId="6578631C" w14:textId="567F0B7A" w:rsidR="0029158D" w:rsidRDefault="0029158D" w:rsidP="00F171B4"/>
    <w:p w14:paraId="62E82D25" w14:textId="25AA6262" w:rsidR="0029158D" w:rsidRPr="00F171B4" w:rsidRDefault="0029158D" w:rsidP="00F171B4">
      <w:r w:rsidRPr="0029158D">
        <w:rPr>
          <w:noProof/>
        </w:rPr>
        <w:drawing>
          <wp:inline distT="0" distB="0" distL="0" distR="0" wp14:anchorId="148D06E5" wp14:editId="121038DE">
            <wp:extent cx="5731510" cy="3235325"/>
            <wp:effectExtent l="0" t="0" r="2540" b="3175"/>
            <wp:docPr id="54" name="Picture 54" descr="A picture containing text,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text, outdoor, tree&#10;&#10;Description automatically generated"/>
                    <pic:cNvPicPr/>
                  </pic:nvPicPr>
                  <pic:blipFill>
                    <a:blip r:embed="rId74"/>
                    <a:stretch>
                      <a:fillRect/>
                    </a:stretch>
                  </pic:blipFill>
                  <pic:spPr>
                    <a:xfrm>
                      <a:off x="0" y="0"/>
                      <a:ext cx="5731510" cy="3235325"/>
                    </a:xfrm>
                    <a:prstGeom prst="rect">
                      <a:avLst/>
                    </a:prstGeom>
                  </pic:spPr>
                </pic:pic>
              </a:graphicData>
            </a:graphic>
          </wp:inline>
        </w:drawing>
      </w:r>
    </w:p>
    <w:sectPr w:rsidR="0029158D" w:rsidRPr="00F171B4" w:rsidSect="009A2CEC">
      <w:footerReference w:type="default" r:id="rId75"/>
      <w:pgSz w:w="11906" w:h="16838"/>
      <w:pgMar w:top="1276"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CC2298" w14:textId="77777777" w:rsidR="003D5771" w:rsidRDefault="003D5771" w:rsidP="004F1245">
      <w:pPr>
        <w:spacing w:after="0" w:line="240" w:lineRule="auto"/>
      </w:pPr>
      <w:r>
        <w:separator/>
      </w:r>
    </w:p>
  </w:endnote>
  <w:endnote w:type="continuationSeparator" w:id="0">
    <w:p w14:paraId="46A6475D" w14:textId="77777777" w:rsidR="003D5771" w:rsidRDefault="003D5771" w:rsidP="004F12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37106" w14:textId="77777777" w:rsidR="00BB0527" w:rsidRDefault="00BB0527" w:rsidP="00F705BA">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84706"/>
      <w:docPartObj>
        <w:docPartGallery w:val="Page Numbers (Bottom of Page)"/>
        <w:docPartUnique/>
      </w:docPartObj>
    </w:sdtPr>
    <w:sdtEndPr/>
    <w:sdtContent>
      <w:p w14:paraId="604D8319" w14:textId="77777777" w:rsidR="009A2CEC" w:rsidRDefault="002E68B1">
        <w:pPr>
          <w:pStyle w:val="Footer"/>
          <w:jc w:val="right"/>
        </w:pPr>
        <w:r>
          <w:fldChar w:fldCharType="begin"/>
        </w:r>
        <w:r>
          <w:instrText xml:space="preserve"> PAGE   \* MERGEFORMAT </w:instrText>
        </w:r>
        <w:r>
          <w:fldChar w:fldCharType="separate"/>
        </w:r>
        <w:r>
          <w:rPr>
            <w:noProof/>
          </w:rPr>
          <w:t>3</w:t>
        </w:r>
        <w:r>
          <w:rPr>
            <w:noProof/>
          </w:rPr>
          <w:fldChar w:fldCharType="end"/>
        </w:r>
      </w:p>
    </w:sdtContent>
  </w:sdt>
  <w:p w14:paraId="18AB4547" w14:textId="77777777" w:rsidR="009A2CEC" w:rsidRDefault="009A2C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6A5678" w14:textId="77777777" w:rsidR="003D5771" w:rsidRDefault="003D5771" w:rsidP="004F1245">
      <w:pPr>
        <w:spacing w:after="0" w:line="240" w:lineRule="auto"/>
      </w:pPr>
      <w:r>
        <w:separator/>
      </w:r>
    </w:p>
  </w:footnote>
  <w:footnote w:type="continuationSeparator" w:id="0">
    <w:p w14:paraId="6A73FDC4" w14:textId="77777777" w:rsidR="003D5771" w:rsidRDefault="003D5771" w:rsidP="004F124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B9C2A" w14:textId="328604E5" w:rsidR="00BB0527" w:rsidRDefault="00BB0527" w:rsidP="00A07F1F">
    <w:pPr>
      <w:pStyle w:val="Header"/>
    </w:pPr>
  </w:p>
  <w:p w14:paraId="1B02972E" w14:textId="77777777" w:rsidR="00BB0527" w:rsidRDefault="00BB05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B2AF3"/>
    <w:multiLevelType w:val="hybridMultilevel"/>
    <w:tmpl w:val="C56EC4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47649B2"/>
    <w:multiLevelType w:val="hybridMultilevel"/>
    <w:tmpl w:val="F8DA69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D937A0"/>
    <w:multiLevelType w:val="hybridMultilevel"/>
    <w:tmpl w:val="6DE094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C1E0744"/>
    <w:multiLevelType w:val="hybridMultilevel"/>
    <w:tmpl w:val="C9265898"/>
    <w:lvl w:ilvl="0" w:tplc="4192C978">
      <w:start w:val="1"/>
      <w:numFmt w:val="bullet"/>
      <w:lvlText w:val="•"/>
      <w:lvlJc w:val="left"/>
      <w:pPr>
        <w:tabs>
          <w:tab w:val="num" w:pos="720"/>
        </w:tabs>
        <w:ind w:left="720" w:hanging="360"/>
      </w:pPr>
      <w:rPr>
        <w:rFonts w:ascii="Arial" w:hAnsi="Arial" w:hint="default"/>
      </w:rPr>
    </w:lvl>
    <w:lvl w:ilvl="1" w:tplc="AD1EEC7A">
      <w:numFmt w:val="bullet"/>
      <w:lvlText w:val="–"/>
      <w:lvlJc w:val="left"/>
      <w:pPr>
        <w:tabs>
          <w:tab w:val="num" w:pos="1440"/>
        </w:tabs>
        <w:ind w:left="1440" w:hanging="360"/>
      </w:pPr>
      <w:rPr>
        <w:rFonts w:ascii="Arial" w:hAnsi="Arial" w:hint="default"/>
      </w:rPr>
    </w:lvl>
    <w:lvl w:ilvl="2" w:tplc="BECADB86" w:tentative="1">
      <w:start w:val="1"/>
      <w:numFmt w:val="bullet"/>
      <w:lvlText w:val="•"/>
      <w:lvlJc w:val="left"/>
      <w:pPr>
        <w:tabs>
          <w:tab w:val="num" w:pos="2160"/>
        </w:tabs>
        <w:ind w:left="2160" w:hanging="360"/>
      </w:pPr>
      <w:rPr>
        <w:rFonts w:ascii="Arial" w:hAnsi="Arial" w:hint="default"/>
      </w:rPr>
    </w:lvl>
    <w:lvl w:ilvl="3" w:tplc="5A38A2F0" w:tentative="1">
      <w:start w:val="1"/>
      <w:numFmt w:val="bullet"/>
      <w:lvlText w:val="•"/>
      <w:lvlJc w:val="left"/>
      <w:pPr>
        <w:tabs>
          <w:tab w:val="num" w:pos="2880"/>
        </w:tabs>
        <w:ind w:left="2880" w:hanging="360"/>
      </w:pPr>
      <w:rPr>
        <w:rFonts w:ascii="Arial" w:hAnsi="Arial" w:hint="default"/>
      </w:rPr>
    </w:lvl>
    <w:lvl w:ilvl="4" w:tplc="74F8B62A" w:tentative="1">
      <w:start w:val="1"/>
      <w:numFmt w:val="bullet"/>
      <w:lvlText w:val="•"/>
      <w:lvlJc w:val="left"/>
      <w:pPr>
        <w:tabs>
          <w:tab w:val="num" w:pos="3600"/>
        </w:tabs>
        <w:ind w:left="3600" w:hanging="360"/>
      </w:pPr>
      <w:rPr>
        <w:rFonts w:ascii="Arial" w:hAnsi="Arial" w:hint="default"/>
      </w:rPr>
    </w:lvl>
    <w:lvl w:ilvl="5" w:tplc="E1C02480" w:tentative="1">
      <w:start w:val="1"/>
      <w:numFmt w:val="bullet"/>
      <w:lvlText w:val="•"/>
      <w:lvlJc w:val="left"/>
      <w:pPr>
        <w:tabs>
          <w:tab w:val="num" w:pos="4320"/>
        </w:tabs>
        <w:ind w:left="4320" w:hanging="360"/>
      </w:pPr>
      <w:rPr>
        <w:rFonts w:ascii="Arial" w:hAnsi="Arial" w:hint="default"/>
      </w:rPr>
    </w:lvl>
    <w:lvl w:ilvl="6" w:tplc="C9C4D782" w:tentative="1">
      <w:start w:val="1"/>
      <w:numFmt w:val="bullet"/>
      <w:lvlText w:val="•"/>
      <w:lvlJc w:val="left"/>
      <w:pPr>
        <w:tabs>
          <w:tab w:val="num" w:pos="5040"/>
        </w:tabs>
        <w:ind w:left="5040" w:hanging="360"/>
      </w:pPr>
      <w:rPr>
        <w:rFonts w:ascii="Arial" w:hAnsi="Arial" w:hint="default"/>
      </w:rPr>
    </w:lvl>
    <w:lvl w:ilvl="7" w:tplc="0F208AD0" w:tentative="1">
      <w:start w:val="1"/>
      <w:numFmt w:val="bullet"/>
      <w:lvlText w:val="•"/>
      <w:lvlJc w:val="left"/>
      <w:pPr>
        <w:tabs>
          <w:tab w:val="num" w:pos="5760"/>
        </w:tabs>
        <w:ind w:left="5760" w:hanging="360"/>
      </w:pPr>
      <w:rPr>
        <w:rFonts w:ascii="Arial" w:hAnsi="Arial" w:hint="default"/>
      </w:rPr>
    </w:lvl>
    <w:lvl w:ilvl="8" w:tplc="B22CE59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12733DD"/>
    <w:multiLevelType w:val="hybridMultilevel"/>
    <w:tmpl w:val="2D346DCC"/>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2E76E28"/>
    <w:multiLevelType w:val="hybridMultilevel"/>
    <w:tmpl w:val="7160FEE6"/>
    <w:lvl w:ilvl="0" w:tplc="6D945098">
      <w:start w:val="1"/>
      <w:numFmt w:val="bullet"/>
      <w:lvlText w:val="•"/>
      <w:lvlJc w:val="left"/>
      <w:pPr>
        <w:tabs>
          <w:tab w:val="num" w:pos="720"/>
        </w:tabs>
        <w:ind w:left="720" w:hanging="360"/>
      </w:pPr>
      <w:rPr>
        <w:rFonts w:ascii="Arial" w:hAnsi="Arial" w:hint="default"/>
      </w:rPr>
    </w:lvl>
    <w:lvl w:ilvl="1" w:tplc="57E41DF4" w:tentative="1">
      <w:start w:val="1"/>
      <w:numFmt w:val="bullet"/>
      <w:lvlText w:val="•"/>
      <w:lvlJc w:val="left"/>
      <w:pPr>
        <w:tabs>
          <w:tab w:val="num" w:pos="1440"/>
        </w:tabs>
        <w:ind w:left="1440" w:hanging="360"/>
      </w:pPr>
      <w:rPr>
        <w:rFonts w:ascii="Arial" w:hAnsi="Arial" w:hint="default"/>
      </w:rPr>
    </w:lvl>
    <w:lvl w:ilvl="2" w:tplc="90BAC110" w:tentative="1">
      <w:start w:val="1"/>
      <w:numFmt w:val="bullet"/>
      <w:lvlText w:val="•"/>
      <w:lvlJc w:val="left"/>
      <w:pPr>
        <w:tabs>
          <w:tab w:val="num" w:pos="2160"/>
        </w:tabs>
        <w:ind w:left="2160" w:hanging="360"/>
      </w:pPr>
      <w:rPr>
        <w:rFonts w:ascii="Arial" w:hAnsi="Arial" w:hint="default"/>
      </w:rPr>
    </w:lvl>
    <w:lvl w:ilvl="3" w:tplc="0D862B64" w:tentative="1">
      <w:start w:val="1"/>
      <w:numFmt w:val="bullet"/>
      <w:lvlText w:val="•"/>
      <w:lvlJc w:val="left"/>
      <w:pPr>
        <w:tabs>
          <w:tab w:val="num" w:pos="2880"/>
        </w:tabs>
        <w:ind w:left="2880" w:hanging="360"/>
      </w:pPr>
      <w:rPr>
        <w:rFonts w:ascii="Arial" w:hAnsi="Arial" w:hint="default"/>
      </w:rPr>
    </w:lvl>
    <w:lvl w:ilvl="4" w:tplc="E9C84844" w:tentative="1">
      <w:start w:val="1"/>
      <w:numFmt w:val="bullet"/>
      <w:lvlText w:val="•"/>
      <w:lvlJc w:val="left"/>
      <w:pPr>
        <w:tabs>
          <w:tab w:val="num" w:pos="3600"/>
        </w:tabs>
        <w:ind w:left="3600" w:hanging="360"/>
      </w:pPr>
      <w:rPr>
        <w:rFonts w:ascii="Arial" w:hAnsi="Arial" w:hint="default"/>
      </w:rPr>
    </w:lvl>
    <w:lvl w:ilvl="5" w:tplc="D6E0E358" w:tentative="1">
      <w:start w:val="1"/>
      <w:numFmt w:val="bullet"/>
      <w:lvlText w:val="•"/>
      <w:lvlJc w:val="left"/>
      <w:pPr>
        <w:tabs>
          <w:tab w:val="num" w:pos="4320"/>
        </w:tabs>
        <w:ind w:left="4320" w:hanging="360"/>
      </w:pPr>
      <w:rPr>
        <w:rFonts w:ascii="Arial" w:hAnsi="Arial" w:hint="default"/>
      </w:rPr>
    </w:lvl>
    <w:lvl w:ilvl="6" w:tplc="5F0E1D6A" w:tentative="1">
      <w:start w:val="1"/>
      <w:numFmt w:val="bullet"/>
      <w:lvlText w:val="•"/>
      <w:lvlJc w:val="left"/>
      <w:pPr>
        <w:tabs>
          <w:tab w:val="num" w:pos="5040"/>
        </w:tabs>
        <w:ind w:left="5040" w:hanging="360"/>
      </w:pPr>
      <w:rPr>
        <w:rFonts w:ascii="Arial" w:hAnsi="Arial" w:hint="default"/>
      </w:rPr>
    </w:lvl>
    <w:lvl w:ilvl="7" w:tplc="DFCE6CB0" w:tentative="1">
      <w:start w:val="1"/>
      <w:numFmt w:val="bullet"/>
      <w:lvlText w:val="•"/>
      <w:lvlJc w:val="left"/>
      <w:pPr>
        <w:tabs>
          <w:tab w:val="num" w:pos="5760"/>
        </w:tabs>
        <w:ind w:left="5760" w:hanging="360"/>
      </w:pPr>
      <w:rPr>
        <w:rFonts w:ascii="Arial" w:hAnsi="Arial" w:hint="default"/>
      </w:rPr>
    </w:lvl>
    <w:lvl w:ilvl="8" w:tplc="2CC4A29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5006213"/>
    <w:multiLevelType w:val="hybridMultilevel"/>
    <w:tmpl w:val="6D14172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67F33FB"/>
    <w:multiLevelType w:val="hybridMultilevel"/>
    <w:tmpl w:val="BF14E6AE"/>
    <w:lvl w:ilvl="0" w:tplc="5394C96A">
      <w:start w:val="1"/>
      <w:numFmt w:val="bullet"/>
      <w:lvlText w:val="•"/>
      <w:lvlJc w:val="left"/>
      <w:pPr>
        <w:tabs>
          <w:tab w:val="num" w:pos="720"/>
        </w:tabs>
        <w:ind w:left="720" w:hanging="360"/>
      </w:pPr>
      <w:rPr>
        <w:rFonts w:ascii="Arial" w:hAnsi="Arial" w:hint="default"/>
      </w:rPr>
    </w:lvl>
    <w:lvl w:ilvl="1" w:tplc="6C36B214" w:tentative="1">
      <w:start w:val="1"/>
      <w:numFmt w:val="bullet"/>
      <w:lvlText w:val="•"/>
      <w:lvlJc w:val="left"/>
      <w:pPr>
        <w:tabs>
          <w:tab w:val="num" w:pos="1440"/>
        </w:tabs>
        <w:ind w:left="1440" w:hanging="360"/>
      </w:pPr>
      <w:rPr>
        <w:rFonts w:ascii="Arial" w:hAnsi="Arial" w:hint="default"/>
      </w:rPr>
    </w:lvl>
    <w:lvl w:ilvl="2" w:tplc="33106EBA" w:tentative="1">
      <w:start w:val="1"/>
      <w:numFmt w:val="bullet"/>
      <w:lvlText w:val="•"/>
      <w:lvlJc w:val="left"/>
      <w:pPr>
        <w:tabs>
          <w:tab w:val="num" w:pos="2160"/>
        </w:tabs>
        <w:ind w:left="2160" w:hanging="360"/>
      </w:pPr>
      <w:rPr>
        <w:rFonts w:ascii="Arial" w:hAnsi="Arial" w:hint="default"/>
      </w:rPr>
    </w:lvl>
    <w:lvl w:ilvl="3" w:tplc="40F44862" w:tentative="1">
      <w:start w:val="1"/>
      <w:numFmt w:val="bullet"/>
      <w:lvlText w:val="•"/>
      <w:lvlJc w:val="left"/>
      <w:pPr>
        <w:tabs>
          <w:tab w:val="num" w:pos="2880"/>
        </w:tabs>
        <w:ind w:left="2880" w:hanging="360"/>
      </w:pPr>
      <w:rPr>
        <w:rFonts w:ascii="Arial" w:hAnsi="Arial" w:hint="default"/>
      </w:rPr>
    </w:lvl>
    <w:lvl w:ilvl="4" w:tplc="585C13F8" w:tentative="1">
      <w:start w:val="1"/>
      <w:numFmt w:val="bullet"/>
      <w:lvlText w:val="•"/>
      <w:lvlJc w:val="left"/>
      <w:pPr>
        <w:tabs>
          <w:tab w:val="num" w:pos="3600"/>
        </w:tabs>
        <w:ind w:left="3600" w:hanging="360"/>
      </w:pPr>
      <w:rPr>
        <w:rFonts w:ascii="Arial" w:hAnsi="Arial" w:hint="default"/>
      </w:rPr>
    </w:lvl>
    <w:lvl w:ilvl="5" w:tplc="595A496C" w:tentative="1">
      <w:start w:val="1"/>
      <w:numFmt w:val="bullet"/>
      <w:lvlText w:val="•"/>
      <w:lvlJc w:val="left"/>
      <w:pPr>
        <w:tabs>
          <w:tab w:val="num" w:pos="4320"/>
        </w:tabs>
        <w:ind w:left="4320" w:hanging="360"/>
      </w:pPr>
      <w:rPr>
        <w:rFonts w:ascii="Arial" w:hAnsi="Arial" w:hint="default"/>
      </w:rPr>
    </w:lvl>
    <w:lvl w:ilvl="6" w:tplc="146860E0" w:tentative="1">
      <w:start w:val="1"/>
      <w:numFmt w:val="bullet"/>
      <w:lvlText w:val="•"/>
      <w:lvlJc w:val="left"/>
      <w:pPr>
        <w:tabs>
          <w:tab w:val="num" w:pos="5040"/>
        </w:tabs>
        <w:ind w:left="5040" w:hanging="360"/>
      </w:pPr>
      <w:rPr>
        <w:rFonts w:ascii="Arial" w:hAnsi="Arial" w:hint="default"/>
      </w:rPr>
    </w:lvl>
    <w:lvl w:ilvl="7" w:tplc="DBB8CE66" w:tentative="1">
      <w:start w:val="1"/>
      <w:numFmt w:val="bullet"/>
      <w:lvlText w:val="•"/>
      <w:lvlJc w:val="left"/>
      <w:pPr>
        <w:tabs>
          <w:tab w:val="num" w:pos="5760"/>
        </w:tabs>
        <w:ind w:left="5760" w:hanging="360"/>
      </w:pPr>
      <w:rPr>
        <w:rFonts w:ascii="Arial" w:hAnsi="Arial" w:hint="default"/>
      </w:rPr>
    </w:lvl>
    <w:lvl w:ilvl="8" w:tplc="BC24345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9580638"/>
    <w:multiLevelType w:val="hybridMultilevel"/>
    <w:tmpl w:val="5F465D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C7C012F"/>
    <w:multiLevelType w:val="hybridMultilevel"/>
    <w:tmpl w:val="26E69AA2"/>
    <w:lvl w:ilvl="0" w:tplc="CD6E6B32">
      <w:start w:val="1"/>
      <w:numFmt w:val="bullet"/>
      <w:lvlText w:val=""/>
      <w:lvlJc w:val="left"/>
      <w:pPr>
        <w:tabs>
          <w:tab w:val="num" w:pos="720"/>
        </w:tabs>
        <w:ind w:left="720" w:hanging="360"/>
      </w:pPr>
      <w:rPr>
        <w:rFonts w:ascii="Wingdings 2" w:hAnsi="Wingdings 2" w:hint="default"/>
      </w:rPr>
    </w:lvl>
    <w:lvl w:ilvl="1" w:tplc="E19E02AC">
      <w:start w:val="1"/>
      <w:numFmt w:val="bullet"/>
      <w:lvlText w:val=""/>
      <w:lvlJc w:val="left"/>
      <w:pPr>
        <w:tabs>
          <w:tab w:val="num" w:pos="1440"/>
        </w:tabs>
        <w:ind w:left="1440" w:hanging="360"/>
      </w:pPr>
      <w:rPr>
        <w:rFonts w:ascii="Wingdings 2" w:hAnsi="Wingdings 2" w:hint="default"/>
      </w:rPr>
    </w:lvl>
    <w:lvl w:ilvl="2" w:tplc="E83E3CBE" w:tentative="1">
      <w:start w:val="1"/>
      <w:numFmt w:val="bullet"/>
      <w:lvlText w:val=""/>
      <w:lvlJc w:val="left"/>
      <w:pPr>
        <w:tabs>
          <w:tab w:val="num" w:pos="2160"/>
        </w:tabs>
        <w:ind w:left="2160" w:hanging="360"/>
      </w:pPr>
      <w:rPr>
        <w:rFonts w:ascii="Wingdings 2" w:hAnsi="Wingdings 2" w:hint="default"/>
      </w:rPr>
    </w:lvl>
    <w:lvl w:ilvl="3" w:tplc="A7329E68" w:tentative="1">
      <w:start w:val="1"/>
      <w:numFmt w:val="bullet"/>
      <w:lvlText w:val=""/>
      <w:lvlJc w:val="left"/>
      <w:pPr>
        <w:tabs>
          <w:tab w:val="num" w:pos="2880"/>
        </w:tabs>
        <w:ind w:left="2880" w:hanging="360"/>
      </w:pPr>
      <w:rPr>
        <w:rFonts w:ascii="Wingdings 2" w:hAnsi="Wingdings 2" w:hint="default"/>
      </w:rPr>
    </w:lvl>
    <w:lvl w:ilvl="4" w:tplc="99AA8A98" w:tentative="1">
      <w:start w:val="1"/>
      <w:numFmt w:val="bullet"/>
      <w:lvlText w:val=""/>
      <w:lvlJc w:val="left"/>
      <w:pPr>
        <w:tabs>
          <w:tab w:val="num" w:pos="3600"/>
        </w:tabs>
        <w:ind w:left="3600" w:hanging="360"/>
      </w:pPr>
      <w:rPr>
        <w:rFonts w:ascii="Wingdings 2" w:hAnsi="Wingdings 2" w:hint="default"/>
      </w:rPr>
    </w:lvl>
    <w:lvl w:ilvl="5" w:tplc="794020C2" w:tentative="1">
      <w:start w:val="1"/>
      <w:numFmt w:val="bullet"/>
      <w:lvlText w:val=""/>
      <w:lvlJc w:val="left"/>
      <w:pPr>
        <w:tabs>
          <w:tab w:val="num" w:pos="4320"/>
        </w:tabs>
        <w:ind w:left="4320" w:hanging="360"/>
      </w:pPr>
      <w:rPr>
        <w:rFonts w:ascii="Wingdings 2" w:hAnsi="Wingdings 2" w:hint="default"/>
      </w:rPr>
    </w:lvl>
    <w:lvl w:ilvl="6" w:tplc="135034F2" w:tentative="1">
      <w:start w:val="1"/>
      <w:numFmt w:val="bullet"/>
      <w:lvlText w:val=""/>
      <w:lvlJc w:val="left"/>
      <w:pPr>
        <w:tabs>
          <w:tab w:val="num" w:pos="5040"/>
        </w:tabs>
        <w:ind w:left="5040" w:hanging="360"/>
      </w:pPr>
      <w:rPr>
        <w:rFonts w:ascii="Wingdings 2" w:hAnsi="Wingdings 2" w:hint="default"/>
      </w:rPr>
    </w:lvl>
    <w:lvl w:ilvl="7" w:tplc="896EDABA" w:tentative="1">
      <w:start w:val="1"/>
      <w:numFmt w:val="bullet"/>
      <w:lvlText w:val=""/>
      <w:lvlJc w:val="left"/>
      <w:pPr>
        <w:tabs>
          <w:tab w:val="num" w:pos="5760"/>
        </w:tabs>
        <w:ind w:left="5760" w:hanging="360"/>
      </w:pPr>
      <w:rPr>
        <w:rFonts w:ascii="Wingdings 2" w:hAnsi="Wingdings 2" w:hint="default"/>
      </w:rPr>
    </w:lvl>
    <w:lvl w:ilvl="8" w:tplc="BBE03156" w:tentative="1">
      <w:start w:val="1"/>
      <w:numFmt w:val="bullet"/>
      <w:lvlText w:val=""/>
      <w:lvlJc w:val="left"/>
      <w:pPr>
        <w:tabs>
          <w:tab w:val="num" w:pos="6480"/>
        </w:tabs>
        <w:ind w:left="6480" w:hanging="360"/>
      </w:pPr>
      <w:rPr>
        <w:rFonts w:ascii="Wingdings 2" w:hAnsi="Wingdings 2" w:hint="default"/>
      </w:rPr>
    </w:lvl>
  </w:abstractNum>
  <w:abstractNum w:abstractNumId="10" w15:restartNumberingAfterBreak="0">
    <w:nsid w:val="2DB0704B"/>
    <w:multiLevelType w:val="hybridMultilevel"/>
    <w:tmpl w:val="73F2A5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4596C78"/>
    <w:multiLevelType w:val="hybridMultilevel"/>
    <w:tmpl w:val="F54E5E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7E4597B"/>
    <w:multiLevelType w:val="hybridMultilevel"/>
    <w:tmpl w:val="1F70657E"/>
    <w:lvl w:ilvl="0" w:tplc="2EC81660">
      <w:start w:val="1"/>
      <w:numFmt w:val="bullet"/>
      <w:lvlText w:val="•"/>
      <w:lvlJc w:val="left"/>
      <w:pPr>
        <w:tabs>
          <w:tab w:val="num" w:pos="720"/>
        </w:tabs>
        <w:ind w:left="720" w:hanging="360"/>
      </w:pPr>
      <w:rPr>
        <w:rFonts w:ascii="Arial" w:hAnsi="Arial" w:hint="default"/>
      </w:rPr>
    </w:lvl>
    <w:lvl w:ilvl="1" w:tplc="D93C6508" w:tentative="1">
      <w:start w:val="1"/>
      <w:numFmt w:val="bullet"/>
      <w:lvlText w:val="•"/>
      <w:lvlJc w:val="left"/>
      <w:pPr>
        <w:tabs>
          <w:tab w:val="num" w:pos="1440"/>
        </w:tabs>
        <w:ind w:left="1440" w:hanging="360"/>
      </w:pPr>
      <w:rPr>
        <w:rFonts w:ascii="Arial" w:hAnsi="Arial" w:hint="default"/>
      </w:rPr>
    </w:lvl>
    <w:lvl w:ilvl="2" w:tplc="8368BF4A" w:tentative="1">
      <w:start w:val="1"/>
      <w:numFmt w:val="bullet"/>
      <w:lvlText w:val="•"/>
      <w:lvlJc w:val="left"/>
      <w:pPr>
        <w:tabs>
          <w:tab w:val="num" w:pos="2160"/>
        </w:tabs>
        <w:ind w:left="2160" w:hanging="360"/>
      </w:pPr>
      <w:rPr>
        <w:rFonts w:ascii="Arial" w:hAnsi="Arial" w:hint="default"/>
      </w:rPr>
    </w:lvl>
    <w:lvl w:ilvl="3" w:tplc="2D209BF0" w:tentative="1">
      <w:start w:val="1"/>
      <w:numFmt w:val="bullet"/>
      <w:lvlText w:val="•"/>
      <w:lvlJc w:val="left"/>
      <w:pPr>
        <w:tabs>
          <w:tab w:val="num" w:pos="2880"/>
        </w:tabs>
        <w:ind w:left="2880" w:hanging="360"/>
      </w:pPr>
      <w:rPr>
        <w:rFonts w:ascii="Arial" w:hAnsi="Arial" w:hint="default"/>
      </w:rPr>
    </w:lvl>
    <w:lvl w:ilvl="4" w:tplc="E7E84036" w:tentative="1">
      <w:start w:val="1"/>
      <w:numFmt w:val="bullet"/>
      <w:lvlText w:val="•"/>
      <w:lvlJc w:val="left"/>
      <w:pPr>
        <w:tabs>
          <w:tab w:val="num" w:pos="3600"/>
        </w:tabs>
        <w:ind w:left="3600" w:hanging="360"/>
      </w:pPr>
      <w:rPr>
        <w:rFonts w:ascii="Arial" w:hAnsi="Arial" w:hint="default"/>
      </w:rPr>
    </w:lvl>
    <w:lvl w:ilvl="5" w:tplc="D9367888" w:tentative="1">
      <w:start w:val="1"/>
      <w:numFmt w:val="bullet"/>
      <w:lvlText w:val="•"/>
      <w:lvlJc w:val="left"/>
      <w:pPr>
        <w:tabs>
          <w:tab w:val="num" w:pos="4320"/>
        </w:tabs>
        <w:ind w:left="4320" w:hanging="360"/>
      </w:pPr>
      <w:rPr>
        <w:rFonts w:ascii="Arial" w:hAnsi="Arial" w:hint="default"/>
      </w:rPr>
    </w:lvl>
    <w:lvl w:ilvl="6" w:tplc="73C2525C" w:tentative="1">
      <w:start w:val="1"/>
      <w:numFmt w:val="bullet"/>
      <w:lvlText w:val="•"/>
      <w:lvlJc w:val="left"/>
      <w:pPr>
        <w:tabs>
          <w:tab w:val="num" w:pos="5040"/>
        </w:tabs>
        <w:ind w:left="5040" w:hanging="360"/>
      </w:pPr>
      <w:rPr>
        <w:rFonts w:ascii="Arial" w:hAnsi="Arial" w:hint="default"/>
      </w:rPr>
    </w:lvl>
    <w:lvl w:ilvl="7" w:tplc="08146BD2" w:tentative="1">
      <w:start w:val="1"/>
      <w:numFmt w:val="bullet"/>
      <w:lvlText w:val="•"/>
      <w:lvlJc w:val="left"/>
      <w:pPr>
        <w:tabs>
          <w:tab w:val="num" w:pos="5760"/>
        </w:tabs>
        <w:ind w:left="5760" w:hanging="360"/>
      </w:pPr>
      <w:rPr>
        <w:rFonts w:ascii="Arial" w:hAnsi="Arial" w:hint="default"/>
      </w:rPr>
    </w:lvl>
    <w:lvl w:ilvl="8" w:tplc="B7D8896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D580F3D"/>
    <w:multiLevelType w:val="hybridMultilevel"/>
    <w:tmpl w:val="761A253E"/>
    <w:lvl w:ilvl="0" w:tplc="3AB20FCA">
      <w:start w:val="1"/>
      <w:numFmt w:val="bullet"/>
      <w:lvlText w:val="•"/>
      <w:lvlJc w:val="left"/>
      <w:pPr>
        <w:tabs>
          <w:tab w:val="num" w:pos="720"/>
        </w:tabs>
        <w:ind w:left="720" w:hanging="360"/>
      </w:pPr>
      <w:rPr>
        <w:rFonts w:ascii="Arial" w:hAnsi="Arial" w:hint="default"/>
      </w:rPr>
    </w:lvl>
    <w:lvl w:ilvl="1" w:tplc="299CB0B4" w:tentative="1">
      <w:start w:val="1"/>
      <w:numFmt w:val="bullet"/>
      <w:lvlText w:val="•"/>
      <w:lvlJc w:val="left"/>
      <w:pPr>
        <w:tabs>
          <w:tab w:val="num" w:pos="1440"/>
        </w:tabs>
        <w:ind w:left="1440" w:hanging="360"/>
      </w:pPr>
      <w:rPr>
        <w:rFonts w:ascii="Arial" w:hAnsi="Arial" w:hint="default"/>
      </w:rPr>
    </w:lvl>
    <w:lvl w:ilvl="2" w:tplc="5FE67748" w:tentative="1">
      <w:start w:val="1"/>
      <w:numFmt w:val="bullet"/>
      <w:lvlText w:val="•"/>
      <w:lvlJc w:val="left"/>
      <w:pPr>
        <w:tabs>
          <w:tab w:val="num" w:pos="2160"/>
        </w:tabs>
        <w:ind w:left="2160" w:hanging="360"/>
      </w:pPr>
      <w:rPr>
        <w:rFonts w:ascii="Arial" w:hAnsi="Arial" w:hint="default"/>
      </w:rPr>
    </w:lvl>
    <w:lvl w:ilvl="3" w:tplc="A816ED34" w:tentative="1">
      <w:start w:val="1"/>
      <w:numFmt w:val="bullet"/>
      <w:lvlText w:val="•"/>
      <w:lvlJc w:val="left"/>
      <w:pPr>
        <w:tabs>
          <w:tab w:val="num" w:pos="2880"/>
        </w:tabs>
        <w:ind w:left="2880" w:hanging="360"/>
      </w:pPr>
      <w:rPr>
        <w:rFonts w:ascii="Arial" w:hAnsi="Arial" w:hint="default"/>
      </w:rPr>
    </w:lvl>
    <w:lvl w:ilvl="4" w:tplc="8E7CA57A" w:tentative="1">
      <w:start w:val="1"/>
      <w:numFmt w:val="bullet"/>
      <w:lvlText w:val="•"/>
      <w:lvlJc w:val="left"/>
      <w:pPr>
        <w:tabs>
          <w:tab w:val="num" w:pos="3600"/>
        </w:tabs>
        <w:ind w:left="3600" w:hanging="360"/>
      </w:pPr>
      <w:rPr>
        <w:rFonts w:ascii="Arial" w:hAnsi="Arial" w:hint="default"/>
      </w:rPr>
    </w:lvl>
    <w:lvl w:ilvl="5" w:tplc="A9B640D8" w:tentative="1">
      <w:start w:val="1"/>
      <w:numFmt w:val="bullet"/>
      <w:lvlText w:val="•"/>
      <w:lvlJc w:val="left"/>
      <w:pPr>
        <w:tabs>
          <w:tab w:val="num" w:pos="4320"/>
        </w:tabs>
        <w:ind w:left="4320" w:hanging="360"/>
      </w:pPr>
      <w:rPr>
        <w:rFonts w:ascii="Arial" w:hAnsi="Arial" w:hint="default"/>
      </w:rPr>
    </w:lvl>
    <w:lvl w:ilvl="6" w:tplc="1C58E3D0" w:tentative="1">
      <w:start w:val="1"/>
      <w:numFmt w:val="bullet"/>
      <w:lvlText w:val="•"/>
      <w:lvlJc w:val="left"/>
      <w:pPr>
        <w:tabs>
          <w:tab w:val="num" w:pos="5040"/>
        </w:tabs>
        <w:ind w:left="5040" w:hanging="360"/>
      </w:pPr>
      <w:rPr>
        <w:rFonts w:ascii="Arial" w:hAnsi="Arial" w:hint="default"/>
      </w:rPr>
    </w:lvl>
    <w:lvl w:ilvl="7" w:tplc="20026952" w:tentative="1">
      <w:start w:val="1"/>
      <w:numFmt w:val="bullet"/>
      <w:lvlText w:val="•"/>
      <w:lvlJc w:val="left"/>
      <w:pPr>
        <w:tabs>
          <w:tab w:val="num" w:pos="5760"/>
        </w:tabs>
        <w:ind w:left="5760" w:hanging="360"/>
      </w:pPr>
      <w:rPr>
        <w:rFonts w:ascii="Arial" w:hAnsi="Arial" w:hint="default"/>
      </w:rPr>
    </w:lvl>
    <w:lvl w:ilvl="8" w:tplc="E72036E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1366C1F"/>
    <w:multiLevelType w:val="hybridMultilevel"/>
    <w:tmpl w:val="6D14172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5E52410"/>
    <w:multiLevelType w:val="hybridMultilevel"/>
    <w:tmpl w:val="5D4A63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A597BA0"/>
    <w:multiLevelType w:val="hybridMultilevel"/>
    <w:tmpl w:val="1402D1C0"/>
    <w:lvl w:ilvl="0" w:tplc="5A04B18C">
      <w:start w:val="1"/>
      <w:numFmt w:val="bullet"/>
      <w:lvlText w:val="•"/>
      <w:lvlJc w:val="left"/>
      <w:pPr>
        <w:tabs>
          <w:tab w:val="num" w:pos="720"/>
        </w:tabs>
        <w:ind w:left="720" w:hanging="360"/>
      </w:pPr>
      <w:rPr>
        <w:rFonts w:ascii="Arial" w:hAnsi="Arial" w:hint="default"/>
      </w:rPr>
    </w:lvl>
    <w:lvl w:ilvl="1" w:tplc="F9EEB820" w:tentative="1">
      <w:start w:val="1"/>
      <w:numFmt w:val="bullet"/>
      <w:lvlText w:val="•"/>
      <w:lvlJc w:val="left"/>
      <w:pPr>
        <w:tabs>
          <w:tab w:val="num" w:pos="1440"/>
        </w:tabs>
        <w:ind w:left="1440" w:hanging="360"/>
      </w:pPr>
      <w:rPr>
        <w:rFonts w:ascii="Arial" w:hAnsi="Arial" w:hint="default"/>
      </w:rPr>
    </w:lvl>
    <w:lvl w:ilvl="2" w:tplc="3404D42A" w:tentative="1">
      <w:start w:val="1"/>
      <w:numFmt w:val="bullet"/>
      <w:lvlText w:val="•"/>
      <w:lvlJc w:val="left"/>
      <w:pPr>
        <w:tabs>
          <w:tab w:val="num" w:pos="2160"/>
        </w:tabs>
        <w:ind w:left="2160" w:hanging="360"/>
      </w:pPr>
      <w:rPr>
        <w:rFonts w:ascii="Arial" w:hAnsi="Arial" w:hint="default"/>
      </w:rPr>
    </w:lvl>
    <w:lvl w:ilvl="3" w:tplc="D602BD08" w:tentative="1">
      <w:start w:val="1"/>
      <w:numFmt w:val="bullet"/>
      <w:lvlText w:val="•"/>
      <w:lvlJc w:val="left"/>
      <w:pPr>
        <w:tabs>
          <w:tab w:val="num" w:pos="2880"/>
        </w:tabs>
        <w:ind w:left="2880" w:hanging="360"/>
      </w:pPr>
      <w:rPr>
        <w:rFonts w:ascii="Arial" w:hAnsi="Arial" w:hint="default"/>
      </w:rPr>
    </w:lvl>
    <w:lvl w:ilvl="4" w:tplc="8E386F5C" w:tentative="1">
      <w:start w:val="1"/>
      <w:numFmt w:val="bullet"/>
      <w:lvlText w:val="•"/>
      <w:lvlJc w:val="left"/>
      <w:pPr>
        <w:tabs>
          <w:tab w:val="num" w:pos="3600"/>
        </w:tabs>
        <w:ind w:left="3600" w:hanging="360"/>
      </w:pPr>
      <w:rPr>
        <w:rFonts w:ascii="Arial" w:hAnsi="Arial" w:hint="default"/>
      </w:rPr>
    </w:lvl>
    <w:lvl w:ilvl="5" w:tplc="806639E2" w:tentative="1">
      <w:start w:val="1"/>
      <w:numFmt w:val="bullet"/>
      <w:lvlText w:val="•"/>
      <w:lvlJc w:val="left"/>
      <w:pPr>
        <w:tabs>
          <w:tab w:val="num" w:pos="4320"/>
        </w:tabs>
        <w:ind w:left="4320" w:hanging="360"/>
      </w:pPr>
      <w:rPr>
        <w:rFonts w:ascii="Arial" w:hAnsi="Arial" w:hint="default"/>
      </w:rPr>
    </w:lvl>
    <w:lvl w:ilvl="6" w:tplc="15B41A26" w:tentative="1">
      <w:start w:val="1"/>
      <w:numFmt w:val="bullet"/>
      <w:lvlText w:val="•"/>
      <w:lvlJc w:val="left"/>
      <w:pPr>
        <w:tabs>
          <w:tab w:val="num" w:pos="5040"/>
        </w:tabs>
        <w:ind w:left="5040" w:hanging="360"/>
      </w:pPr>
      <w:rPr>
        <w:rFonts w:ascii="Arial" w:hAnsi="Arial" w:hint="default"/>
      </w:rPr>
    </w:lvl>
    <w:lvl w:ilvl="7" w:tplc="8102B9EA" w:tentative="1">
      <w:start w:val="1"/>
      <w:numFmt w:val="bullet"/>
      <w:lvlText w:val="•"/>
      <w:lvlJc w:val="left"/>
      <w:pPr>
        <w:tabs>
          <w:tab w:val="num" w:pos="5760"/>
        </w:tabs>
        <w:ind w:left="5760" w:hanging="360"/>
      </w:pPr>
      <w:rPr>
        <w:rFonts w:ascii="Arial" w:hAnsi="Arial" w:hint="default"/>
      </w:rPr>
    </w:lvl>
    <w:lvl w:ilvl="8" w:tplc="DA72C39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C0C3BE2"/>
    <w:multiLevelType w:val="hybridMultilevel"/>
    <w:tmpl w:val="2FE859F0"/>
    <w:lvl w:ilvl="0" w:tplc="BCAA5D68">
      <w:start w:val="1"/>
      <w:numFmt w:val="bullet"/>
      <w:lvlText w:val="•"/>
      <w:lvlJc w:val="left"/>
      <w:pPr>
        <w:tabs>
          <w:tab w:val="num" w:pos="720"/>
        </w:tabs>
        <w:ind w:left="720" w:hanging="360"/>
      </w:pPr>
      <w:rPr>
        <w:rFonts w:ascii="Arial" w:hAnsi="Arial" w:hint="default"/>
      </w:rPr>
    </w:lvl>
    <w:lvl w:ilvl="1" w:tplc="B41043B8">
      <w:numFmt w:val="bullet"/>
      <w:lvlText w:val="–"/>
      <w:lvlJc w:val="left"/>
      <w:pPr>
        <w:tabs>
          <w:tab w:val="num" w:pos="1440"/>
        </w:tabs>
        <w:ind w:left="1440" w:hanging="360"/>
      </w:pPr>
      <w:rPr>
        <w:rFonts w:ascii="Arial" w:hAnsi="Arial" w:hint="default"/>
      </w:rPr>
    </w:lvl>
    <w:lvl w:ilvl="2" w:tplc="6DD4B670" w:tentative="1">
      <w:start w:val="1"/>
      <w:numFmt w:val="bullet"/>
      <w:lvlText w:val="•"/>
      <w:lvlJc w:val="left"/>
      <w:pPr>
        <w:tabs>
          <w:tab w:val="num" w:pos="2160"/>
        </w:tabs>
        <w:ind w:left="2160" w:hanging="360"/>
      </w:pPr>
      <w:rPr>
        <w:rFonts w:ascii="Arial" w:hAnsi="Arial" w:hint="default"/>
      </w:rPr>
    </w:lvl>
    <w:lvl w:ilvl="3" w:tplc="9146A906" w:tentative="1">
      <w:start w:val="1"/>
      <w:numFmt w:val="bullet"/>
      <w:lvlText w:val="•"/>
      <w:lvlJc w:val="left"/>
      <w:pPr>
        <w:tabs>
          <w:tab w:val="num" w:pos="2880"/>
        </w:tabs>
        <w:ind w:left="2880" w:hanging="360"/>
      </w:pPr>
      <w:rPr>
        <w:rFonts w:ascii="Arial" w:hAnsi="Arial" w:hint="default"/>
      </w:rPr>
    </w:lvl>
    <w:lvl w:ilvl="4" w:tplc="E27891F6" w:tentative="1">
      <w:start w:val="1"/>
      <w:numFmt w:val="bullet"/>
      <w:lvlText w:val="•"/>
      <w:lvlJc w:val="left"/>
      <w:pPr>
        <w:tabs>
          <w:tab w:val="num" w:pos="3600"/>
        </w:tabs>
        <w:ind w:left="3600" w:hanging="360"/>
      </w:pPr>
      <w:rPr>
        <w:rFonts w:ascii="Arial" w:hAnsi="Arial" w:hint="default"/>
      </w:rPr>
    </w:lvl>
    <w:lvl w:ilvl="5" w:tplc="2250B822" w:tentative="1">
      <w:start w:val="1"/>
      <w:numFmt w:val="bullet"/>
      <w:lvlText w:val="•"/>
      <w:lvlJc w:val="left"/>
      <w:pPr>
        <w:tabs>
          <w:tab w:val="num" w:pos="4320"/>
        </w:tabs>
        <w:ind w:left="4320" w:hanging="360"/>
      </w:pPr>
      <w:rPr>
        <w:rFonts w:ascii="Arial" w:hAnsi="Arial" w:hint="default"/>
      </w:rPr>
    </w:lvl>
    <w:lvl w:ilvl="6" w:tplc="9BE4F2CC" w:tentative="1">
      <w:start w:val="1"/>
      <w:numFmt w:val="bullet"/>
      <w:lvlText w:val="•"/>
      <w:lvlJc w:val="left"/>
      <w:pPr>
        <w:tabs>
          <w:tab w:val="num" w:pos="5040"/>
        </w:tabs>
        <w:ind w:left="5040" w:hanging="360"/>
      </w:pPr>
      <w:rPr>
        <w:rFonts w:ascii="Arial" w:hAnsi="Arial" w:hint="default"/>
      </w:rPr>
    </w:lvl>
    <w:lvl w:ilvl="7" w:tplc="4792354C" w:tentative="1">
      <w:start w:val="1"/>
      <w:numFmt w:val="bullet"/>
      <w:lvlText w:val="•"/>
      <w:lvlJc w:val="left"/>
      <w:pPr>
        <w:tabs>
          <w:tab w:val="num" w:pos="5760"/>
        </w:tabs>
        <w:ind w:left="5760" w:hanging="360"/>
      </w:pPr>
      <w:rPr>
        <w:rFonts w:ascii="Arial" w:hAnsi="Arial" w:hint="default"/>
      </w:rPr>
    </w:lvl>
    <w:lvl w:ilvl="8" w:tplc="20D4D7D2"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E93253E"/>
    <w:multiLevelType w:val="hybridMultilevel"/>
    <w:tmpl w:val="EFF8B7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17A0438"/>
    <w:multiLevelType w:val="hybridMultilevel"/>
    <w:tmpl w:val="EDD0E9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279394E"/>
    <w:multiLevelType w:val="hybridMultilevel"/>
    <w:tmpl w:val="5CE65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3B91905"/>
    <w:multiLevelType w:val="hybridMultilevel"/>
    <w:tmpl w:val="FAE48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5990EED"/>
    <w:multiLevelType w:val="hybridMultilevel"/>
    <w:tmpl w:val="A5D421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BA648EB"/>
    <w:multiLevelType w:val="hybridMultilevel"/>
    <w:tmpl w:val="3F74A304"/>
    <w:lvl w:ilvl="0" w:tplc="3D3CBA26">
      <w:start w:val="1"/>
      <w:numFmt w:val="bullet"/>
      <w:lvlText w:val="•"/>
      <w:lvlJc w:val="left"/>
      <w:pPr>
        <w:tabs>
          <w:tab w:val="num" w:pos="720"/>
        </w:tabs>
        <w:ind w:left="720" w:hanging="360"/>
      </w:pPr>
      <w:rPr>
        <w:rFonts w:ascii="Arial" w:hAnsi="Arial" w:hint="default"/>
      </w:rPr>
    </w:lvl>
    <w:lvl w:ilvl="1" w:tplc="DBA036DC">
      <w:numFmt w:val="bullet"/>
      <w:lvlText w:val="–"/>
      <w:lvlJc w:val="left"/>
      <w:pPr>
        <w:tabs>
          <w:tab w:val="num" w:pos="1440"/>
        </w:tabs>
        <w:ind w:left="1440" w:hanging="360"/>
      </w:pPr>
      <w:rPr>
        <w:rFonts w:ascii="Arial" w:hAnsi="Arial" w:hint="default"/>
      </w:rPr>
    </w:lvl>
    <w:lvl w:ilvl="2" w:tplc="12C67DAC" w:tentative="1">
      <w:start w:val="1"/>
      <w:numFmt w:val="bullet"/>
      <w:lvlText w:val="•"/>
      <w:lvlJc w:val="left"/>
      <w:pPr>
        <w:tabs>
          <w:tab w:val="num" w:pos="2160"/>
        </w:tabs>
        <w:ind w:left="2160" w:hanging="360"/>
      </w:pPr>
      <w:rPr>
        <w:rFonts w:ascii="Arial" w:hAnsi="Arial" w:hint="default"/>
      </w:rPr>
    </w:lvl>
    <w:lvl w:ilvl="3" w:tplc="BA26EFE6" w:tentative="1">
      <w:start w:val="1"/>
      <w:numFmt w:val="bullet"/>
      <w:lvlText w:val="•"/>
      <w:lvlJc w:val="left"/>
      <w:pPr>
        <w:tabs>
          <w:tab w:val="num" w:pos="2880"/>
        </w:tabs>
        <w:ind w:left="2880" w:hanging="360"/>
      </w:pPr>
      <w:rPr>
        <w:rFonts w:ascii="Arial" w:hAnsi="Arial" w:hint="default"/>
      </w:rPr>
    </w:lvl>
    <w:lvl w:ilvl="4" w:tplc="D012C4E6" w:tentative="1">
      <w:start w:val="1"/>
      <w:numFmt w:val="bullet"/>
      <w:lvlText w:val="•"/>
      <w:lvlJc w:val="left"/>
      <w:pPr>
        <w:tabs>
          <w:tab w:val="num" w:pos="3600"/>
        </w:tabs>
        <w:ind w:left="3600" w:hanging="360"/>
      </w:pPr>
      <w:rPr>
        <w:rFonts w:ascii="Arial" w:hAnsi="Arial" w:hint="default"/>
      </w:rPr>
    </w:lvl>
    <w:lvl w:ilvl="5" w:tplc="3A484656" w:tentative="1">
      <w:start w:val="1"/>
      <w:numFmt w:val="bullet"/>
      <w:lvlText w:val="•"/>
      <w:lvlJc w:val="left"/>
      <w:pPr>
        <w:tabs>
          <w:tab w:val="num" w:pos="4320"/>
        </w:tabs>
        <w:ind w:left="4320" w:hanging="360"/>
      </w:pPr>
      <w:rPr>
        <w:rFonts w:ascii="Arial" w:hAnsi="Arial" w:hint="default"/>
      </w:rPr>
    </w:lvl>
    <w:lvl w:ilvl="6" w:tplc="CA800924" w:tentative="1">
      <w:start w:val="1"/>
      <w:numFmt w:val="bullet"/>
      <w:lvlText w:val="•"/>
      <w:lvlJc w:val="left"/>
      <w:pPr>
        <w:tabs>
          <w:tab w:val="num" w:pos="5040"/>
        </w:tabs>
        <w:ind w:left="5040" w:hanging="360"/>
      </w:pPr>
      <w:rPr>
        <w:rFonts w:ascii="Arial" w:hAnsi="Arial" w:hint="default"/>
      </w:rPr>
    </w:lvl>
    <w:lvl w:ilvl="7" w:tplc="F9E45AD2" w:tentative="1">
      <w:start w:val="1"/>
      <w:numFmt w:val="bullet"/>
      <w:lvlText w:val="•"/>
      <w:lvlJc w:val="left"/>
      <w:pPr>
        <w:tabs>
          <w:tab w:val="num" w:pos="5760"/>
        </w:tabs>
        <w:ind w:left="5760" w:hanging="360"/>
      </w:pPr>
      <w:rPr>
        <w:rFonts w:ascii="Arial" w:hAnsi="Arial" w:hint="default"/>
      </w:rPr>
    </w:lvl>
    <w:lvl w:ilvl="8" w:tplc="ACEECCA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5DF60363"/>
    <w:multiLevelType w:val="hybridMultilevel"/>
    <w:tmpl w:val="4DD42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E7D391F"/>
    <w:multiLevelType w:val="hybridMultilevel"/>
    <w:tmpl w:val="24EA9A0A"/>
    <w:lvl w:ilvl="0" w:tplc="DB3667C4">
      <w:start w:val="1"/>
      <w:numFmt w:val="bullet"/>
      <w:lvlText w:val="•"/>
      <w:lvlJc w:val="left"/>
      <w:pPr>
        <w:tabs>
          <w:tab w:val="num" w:pos="720"/>
        </w:tabs>
        <w:ind w:left="720" w:hanging="360"/>
      </w:pPr>
      <w:rPr>
        <w:rFonts w:ascii="Arial" w:hAnsi="Arial" w:hint="default"/>
      </w:rPr>
    </w:lvl>
    <w:lvl w:ilvl="1" w:tplc="3BE41D44" w:tentative="1">
      <w:start w:val="1"/>
      <w:numFmt w:val="bullet"/>
      <w:lvlText w:val="•"/>
      <w:lvlJc w:val="left"/>
      <w:pPr>
        <w:tabs>
          <w:tab w:val="num" w:pos="1440"/>
        </w:tabs>
        <w:ind w:left="1440" w:hanging="360"/>
      </w:pPr>
      <w:rPr>
        <w:rFonts w:ascii="Arial" w:hAnsi="Arial" w:hint="default"/>
      </w:rPr>
    </w:lvl>
    <w:lvl w:ilvl="2" w:tplc="FFAAD95E" w:tentative="1">
      <w:start w:val="1"/>
      <w:numFmt w:val="bullet"/>
      <w:lvlText w:val="•"/>
      <w:lvlJc w:val="left"/>
      <w:pPr>
        <w:tabs>
          <w:tab w:val="num" w:pos="2160"/>
        </w:tabs>
        <w:ind w:left="2160" w:hanging="360"/>
      </w:pPr>
      <w:rPr>
        <w:rFonts w:ascii="Arial" w:hAnsi="Arial" w:hint="default"/>
      </w:rPr>
    </w:lvl>
    <w:lvl w:ilvl="3" w:tplc="7310BDE6" w:tentative="1">
      <w:start w:val="1"/>
      <w:numFmt w:val="bullet"/>
      <w:lvlText w:val="•"/>
      <w:lvlJc w:val="left"/>
      <w:pPr>
        <w:tabs>
          <w:tab w:val="num" w:pos="2880"/>
        </w:tabs>
        <w:ind w:left="2880" w:hanging="360"/>
      </w:pPr>
      <w:rPr>
        <w:rFonts w:ascii="Arial" w:hAnsi="Arial" w:hint="default"/>
      </w:rPr>
    </w:lvl>
    <w:lvl w:ilvl="4" w:tplc="9F0655AE" w:tentative="1">
      <w:start w:val="1"/>
      <w:numFmt w:val="bullet"/>
      <w:lvlText w:val="•"/>
      <w:lvlJc w:val="left"/>
      <w:pPr>
        <w:tabs>
          <w:tab w:val="num" w:pos="3600"/>
        </w:tabs>
        <w:ind w:left="3600" w:hanging="360"/>
      </w:pPr>
      <w:rPr>
        <w:rFonts w:ascii="Arial" w:hAnsi="Arial" w:hint="default"/>
      </w:rPr>
    </w:lvl>
    <w:lvl w:ilvl="5" w:tplc="84D0BE9A" w:tentative="1">
      <w:start w:val="1"/>
      <w:numFmt w:val="bullet"/>
      <w:lvlText w:val="•"/>
      <w:lvlJc w:val="left"/>
      <w:pPr>
        <w:tabs>
          <w:tab w:val="num" w:pos="4320"/>
        </w:tabs>
        <w:ind w:left="4320" w:hanging="360"/>
      </w:pPr>
      <w:rPr>
        <w:rFonts w:ascii="Arial" w:hAnsi="Arial" w:hint="default"/>
      </w:rPr>
    </w:lvl>
    <w:lvl w:ilvl="6" w:tplc="ABE8645A" w:tentative="1">
      <w:start w:val="1"/>
      <w:numFmt w:val="bullet"/>
      <w:lvlText w:val="•"/>
      <w:lvlJc w:val="left"/>
      <w:pPr>
        <w:tabs>
          <w:tab w:val="num" w:pos="5040"/>
        </w:tabs>
        <w:ind w:left="5040" w:hanging="360"/>
      </w:pPr>
      <w:rPr>
        <w:rFonts w:ascii="Arial" w:hAnsi="Arial" w:hint="default"/>
      </w:rPr>
    </w:lvl>
    <w:lvl w:ilvl="7" w:tplc="6A687204" w:tentative="1">
      <w:start w:val="1"/>
      <w:numFmt w:val="bullet"/>
      <w:lvlText w:val="•"/>
      <w:lvlJc w:val="left"/>
      <w:pPr>
        <w:tabs>
          <w:tab w:val="num" w:pos="5760"/>
        </w:tabs>
        <w:ind w:left="5760" w:hanging="360"/>
      </w:pPr>
      <w:rPr>
        <w:rFonts w:ascii="Arial" w:hAnsi="Arial" w:hint="default"/>
      </w:rPr>
    </w:lvl>
    <w:lvl w:ilvl="8" w:tplc="71EAA9C4"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5412895"/>
    <w:multiLevelType w:val="multilevel"/>
    <w:tmpl w:val="37949D56"/>
    <w:lvl w:ilvl="0">
      <w:start w:val="1"/>
      <w:numFmt w:val="decimal"/>
      <w:lvlText w:val="%1."/>
      <w:lvlJc w:val="left"/>
      <w:pPr>
        <w:ind w:left="720" w:hanging="360"/>
      </w:pPr>
    </w:lvl>
    <w:lvl w:ilvl="1">
      <w:start w:val="1"/>
      <w:numFmt w:val="decimal"/>
      <w:isLgl/>
      <w:lvlText w:val="%1.%2"/>
      <w:lvlJc w:val="left"/>
      <w:pPr>
        <w:ind w:left="1091" w:hanging="371"/>
      </w:pPr>
    </w:lvl>
    <w:lvl w:ilvl="2">
      <w:start w:val="1"/>
      <w:numFmt w:val="decimal"/>
      <w:isLgl/>
      <w:lvlText w:val="%1.%2.%3"/>
      <w:lvlJc w:val="left"/>
      <w:pPr>
        <w:ind w:left="180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4680" w:hanging="1440"/>
      </w:pPr>
    </w:lvl>
  </w:abstractNum>
  <w:abstractNum w:abstractNumId="27" w15:restartNumberingAfterBreak="0">
    <w:nsid w:val="65FD59BB"/>
    <w:multiLevelType w:val="hybridMultilevel"/>
    <w:tmpl w:val="6FA2255C"/>
    <w:lvl w:ilvl="0" w:tplc="53E4C60C">
      <w:start w:val="3"/>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8" w15:restartNumberingAfterBreak="0">
    <w:nsid w:val="6CF00B09"/>
    <w:multiLevelType w:val="hybridMultilevel"/>
    <w:tmpl w:val="F384BC8C"/>
    <w:lvl w:ilvl="0" w:tplc="C87CBB58">
      <w:start w:val="1"/>
      <w:numFmt w:val="bullet"/>
      <w:lvlText w:val="•"/>
      <w:lvlJc w:val="left"/>
      <w:pPr>
        <w:tabs>
          <w:tab w:val="num" w:pos="720"/>
        </w:tabs>
        <w:ind w:left="720" w:hanging="360"/>
      </w:pPr>
      <w:rPr>
        <w:rFonts w:ascii="Arial" w:hAnsi="Arial" w:hint="default"/>
      </w:rPr>
    </w:lvl>
    <w:lvl w:ilvl="1" w:tplc="91D4F0DC" w:tentative="1">
      <w:start w:val="1"/>
      <w:numFmt w:val="bullet"/>
      <w:lvlText w:val="•"/>
      <w:lvlJc w:val="left"/>
      <w:pPr>
        <w:tabs>
          <w:tab w:val="num" w:pos="1440"/>
        </w:tabs>
        <w:ind w:left="1440" w:hanging="360"/>
      </w:pPr>
      <w:rPr>
        <w:rFonts w:ascii="Arial" w:hAnsi="Arial" w:hint="default"/>
      </w:rPr>
    </w:lvl>
    <w:lvl w:ilvl="2" w:tplc="DD6E64E0" w:tentative="1">
      <w:start w:val="1"/>
      <w:numFmt w:val="bullet"/>
      <w:lvlText w:val="•"/>
      <w:lvlJc w:val="left"/>
      <w:pPr>
        <w:tabs>
          <w:tab w:val="num" w:pos="2160"/>
        </w:tabs>
        <w:ind w:left="2160" w:hanging="360"/>
      </w:pPr>
      <w:rPr>
        <w:rFonts w:ascii="Arial" w:hAnsi="Arial" w:hint="default"/>
      </w:rPr>
    </w:lvl>
    <w:lvl w:ilvl="3" w:tplc="77A09DD4" w:tentative="1">
      <w:start w:val="1"/>
      <w:numFmt w:val="bullet"/>
      <w:lvlText w:val="•"/>
      <w:lvlJc w:val="left"/>
      <w:pPr>
        <w:tabs>
          <w:tab w:val="num" w:pos="2880"/>
        </w:tabs>
        <w:ind w:left="2880" w:hanging="360"/>
      </w:pPr>
      <w:rPr>
        <w:rFonts w:ascii="Arial" w:hAnsi="Arial" w:hint="default"/>
      </w:rPr>
    </w:lvl>
    <w:lvl w:ilvl="4" w:tplc="4612A202" w:tentative="1">
      <w:start w:val="1"/>
      <w:numFmt w:val="bullet"/>
      <w:lvlText w:val="•"/>
      <w:lvlJc w:val="left"/>
      <w:pPr>
        <w:tabs>
          <w:tab w:val="num" w:pos="3600"/>
        </w:tabs>
        <w:ind w:left="3600" w:hanging="360"/>
      </w:pPr>
      <w:rPr>
        <w:rFonts w:ascii="Arial" w:hAnsi="Arial" w:hint="default"/>
      </w:rPr>
    </w:lvl>
    <w:lvl w:ilvl="5" w:tplc="C1B2760E" w:tentative="1">
      <w:start w:val="1"/>
      <w:numFmt w:val="bullet"/>
      <w:lvlText w:val="•"/>
      <w:lvlJc w:val="left"/>
      <w:pPr>
        <w:tabs>
          <w:tab w:val="num" w:pos="4320"/>
        </w:tabs>
        <w:ind w:left="4320" w:hanging="360"/>
      </w:pPr>
      <w:rPr>
        <w:rFonts w:ascii="Arial" w:hAnsi="Arial" w:hint="default"/>
      </w:rPr>
    </w:lvl>
    <w:lvl w:ilvl="6" w:tplc="5D3C3F04" w:tentative="1">
      <w:start w:val="1"/>
      <w:numFmt w:val="bullet"/>
      <w:lvlText w:val="•"/>
      <w:lvlJc w:val="left"/>
      <w:pPr>
        <w:tabs>
          <w:tab w:val="num" w:pos="5040"/>
        </w:tabs>
        <w:ind w:left="5040" w:hanging="360"/>
      </w:pPr>
      <w:rPr>
        <w:rFonts w:ascii="Arial" w:hAnsi="Arial" w:hint="default"/>
      </w:rPr>
    </w:lvl>
    <w:lvl w:ilvl="7" w:tplc="FF98F908" w:tentative="1">
      <w:start w:val="1"/>
      <w:numFmt w:val="bullet"/>
      <w:lvlText w:val="•"/>
      <w:lvlJc w:val="left"/>
      <w:pPr>
        <w:tabs>
          <w:tab w:val="num" w:pos="5760"/>
        </w:tabs>
        <w:ind w:left="5760" w:hanging="360"/>
      </w:pPr>
      <w:rPr>
        <w:rFonts w:ascii="Arial" w:hAnsi="Arial" w:hint="default"/>
      </w:rPr>
    </w:lvl>
    <w:lvl w:ilvl="8" w:tplc="30AA2F6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2E80164"/>
    <w:multiLevelType w:val="hybridMultilevel"/>
    <w:tmpl w:val="BF2473DC"/>
    <w:lvl w:ilvl="0" w:tplc="29DA0D70">
      <w:start w:val="1"/>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76FA1B8E"/>
    <w:multiLevelType w:val="hybridMultilevel"/>
    <w:tmpl w:val="A71C4F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EC7751A"/>
    <w:multiLevelType w:val="hybridMultilevel"/>
    <w:tmpl w:val="683063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12140650">
    <w:abstractNumId w:val="8"/>
  </w:num>
  <w:num w:numId="2" w16cid:durableId="1830290630">
    <w:abstractNumId w:val="15"/>
  </w:num>
  <w:num w:numId="3" w16cid:durableId="371078024">
    <w:abstractNumId w:val="19"/>
  </w:num>
  <w:num w:numId="4" w16cid:durableId="819267038">
    <w:abstractNumId w:val="6"/>
  </w:num>
  <w:num w:numId="5" w16cid:durableId="981076178">
    <w:abstractNumId w:val="1"/>
  </w:num>
  <w:num w:numId="6" w16cid:durableId="720788061">
    <w:abstractNumId w:val="14"/>
  </w:num>
  <w:num w:numId="7" w16cid:durableId="1763527419">
    <w:abstractNumId w:val="2"/>
  </w:num>
  <w:num w:numId="8" w16cid:durableId="606355458">
    <w:abstractNumId w:val="24"/>
  </w:num>
  <w:num w:numId="9" w16cid:durableId="1336809970">
    <w:abstractNumId w:val="21"/>
  </w:num>
  <w:num w:numId="10" w16cid:durableId="1164315909">
    <w:abstractNumId w:val="20"/>
  </w:num>
  <w:num w:numId="11" w16cid:durableId="542333088">
    <w:abstractNumId w:val="11"/>
  </w:num>
  <w:num w:numId="12" w16cid:durableId="889533018">
    <w:abstractNumId w:val="30"/>
  </w:num>
  <w:num w:numId="13" w16cid:durableId="1636721070">
    <w:abstractNumId w:val="28"/>
  </w:num>
  <w:num w:numId="14" w16cid:durableId="369231107">
    <w:abstractNumId w:val="5"/>
  </w:num>
  <w:num w:numId="15" w16cid:durableId="1084952265">
    <w:abstractNumId w:val="12"/>
  </w:num>
  <w:num w:numId="16" w16cid:durableId="850334857">
    <w:abstractNumId w:val="25"/>
  </w:num>
  <w:num w:numId="17" w16cid:durableId="684327220">
    <w:abstractNumId w:val="13"/>
  </w:num>
  <w:num w:numId="18" w16cid:durableId="1230112186">
    <w:abstractNumId w:val="16"/>
  </w:num>
  <w:num w:numId="19" w16cid:durableId="1667897052">
    <w:abstractNumId w:val="7"/>
  </w:num>
  <w:num w:numId="20" w16cid:durableId="1787312929">
    <w:abstractNumId w:val="9"/>
  </w:num>
  <w:num w:numId="21" w16cid:durableId="84004693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117412089">
    <w:abstractNumId w:val="29"/>
  </w:num>
  <w:num w:numId="23" w16cid:durableId="870073034">
    <w:abstractNumId w:val="27"/>
  </w:num>
  <w:num w:numId="24" w16cid:durableId="1749692504">
    <w:abstractNumId w:val="29"/>
  </w:num>
  <w:num w:numId="25" w16cid:durableId="1289900141">
    <w:abstractNumId w:val="27"/>
  </w:num>
  <w:num w:numId="26" w16cid:durableId="1960911693">
    <w:abstractNumId w:val="17"/>
  </w:num>
  <w:num w:numId="27" w16cid:durableId="1560090411">
    <w:abstractNumId w:val="23"/>
  </w:num>
  <w:num w:numId="28" w16cid:durableId="371883912">
    <w:abstractNumId w:val="3"/>
  </w:num>
  <w:num w:numId="29" w16cid:durableId="1500653096">
    <w:abstractNumId w:val="31"/>
  </w:num>
  <w:num w:numId="30" w16cid:durableId="1741560135">
    <w:abstractNumId w:val="0"/>
  </w:num>
  <w:num w:numId="31" w16cid:durableId="1400982995">
    <w:abstractNumId w:val="18"/>
  </w:num>
  <w:num w:numId="32" w16cid:durableId="1790082914">
    <w:abstractNumId w:val="4"/>
  </w:num>
  <w:num w:numId="33" w16cid:durableId="972714149">
    <w:abstractNumId w:val="10"/>
  </w:num>
  <w:num w:numId="34" w16cid:durableId="1579362064">
    <w:abstractNumId w:val="2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1F18"/>
    <w:rsid w:val="00000571"/>
    <w:rsid w:val="0000509C"/>
    <w:rsid w:val="000052F1"/>
    <w:rsid w:val="000054D4"/>
    <w:rsid w:val="00005966"/>
    <w:rsid w:val="0000609A"/>
    <w:rsid w:val="00006DFD"/>
    <w:rsid w:val="00007735"/>
    <w:rsid w:val="000125D0"/>
    <w:rsid w:val="000142CD"/>
    <w:rsid w:val="00014F24"/>
    <w:rsid w:val="0001520C"/>
    <w:rsid w:val="00015937"/>
    <w:rsid w:val="00015A1D"/>
    <w:rsid w:val="00016BE0"/>
    <w:rsid w:val="0002200D"/>
    <w:rsid w:val="000233CF"/>
    <w:rsid w:val="0002527E"/>
    <w:rsid w:val="00025EA4"/>
    <w:rsid w:val="00026356"/>
    <w:rsid w:val="00027219"/>
    <w:rsid w:val="000276C5"/>
    <w:rsid w:val="00027A09"/>
    <w:rsid w:val="00030AA8"/>
    <w:rsid w:val="00030D9E"/>
    <w:rsid w:val="000314E2"/>
    <w:rsid w:val="000329B9"/>
    <w:rsid w:val="00033662"/>
    <w:rsid w:val="000338F6"/>
    <w:rsid w:val="00033B41"/>
    <w:rsid w:val="00034352"/>
    <w:rsid w:val="00034378"/>
    <w:rsid w:val="00035EDF"/>
    <w:rsid w:val="00035FE0"/>
    <w:rsid w:val="0003605E"/>
    <w:rsid w:val="0003618A"/>
    <w:rsid w:val="000361E3"/>
    <w:rsid w:val="0003755F"/>
    <w:rsid w:val="0004002A"/>
    <w:rsid w:val="0004039A"/>
    <w:rsid w:val="00044A97"/>
    <w:rsid w:val="00044DEA"/>
    <w:rsid w:val="000468D3"/>
    <w:rsid w:val="00047879"/>
    <w:rsid w:val="00050D65"/>
    <w:rsid w:val="00051038"/>
    <w:rsid w:val="00051487"/>
    <w:rsid w:val="00052AA2"/>
    <w:rsid w:val="00053E55"/>
    <w:rsid w:val="00060280"/>
    <w:rsid w:val="00062797"/>
    <w:rsid w:val="00063161"/>
    <w:rsid w:val="000648B5"/>
    <w:rsid w:val="00066AE9"/>
    <w:rsid w:val="0006723F"/>
    <w:rsid w:val="00070B8D"/>
    <w:rsid w:val="0007164C"/>
    <w:rsid w:val="00071D35"/>
    <w:rsid w:val="00073738"/>
    <w:rsid w:val="00073F8A"/>
    <w:rsid w:val="0007421D"/>
    <w:rsid w:val="00075902"/>
    <w:rsid w:val="000770AF"/>
    <w:rsid w:val="00080119"/>
    <w:rsid w:val="00080310"/>
    <w:rsid w:val="00080600"/>
    <w:rsid w:val="0008145E"/>
    <w:rsid w:val="000832B6"/>
    <w:rsid w:val="00083577"/>
    <w:rsid w:val="00084CCB"/>
    <w:rsid w:val="00085089"/>
    <w:rsid w:val="00085544"/>
    <w:rsid w:val="0008688E"/>
    <w:rsid w:val="000870DE"/>
    <w:rsid w:val="0009103D"/>
    <w:rsid w:val="0009363E"/>
    <w:rsid w:val="00094025"/>
    <w:rsid w:val="00094199"/>
    <w:rsid w:val="00097A18"/>
    <w:rsid w:val="000A07B8"/>
    <w:rsid w:val="000A260F"/>
    <w:rsid w:val="000A3935"/>
    <w:rsid w:val="000A7839"/>
    <w:rsid w:val="000B138C"/>
    <w:rsid w:val="000B145D"/>
    <w:rsid w:val="000B150A"/>
    <w:rsid w:val="000B38CB"/>
    <w:rsid w:val="000B3E79"/>
    <w:rsid w:val="000B576E"/>
    <w:rsid w:val="000B5F6D"/>
    <w:rsid w:val="000B694D"/>
    <w:rsid w:val="000B6AC2"/>
    <w:rsid w:val="000C2C99"/>
    <w:rsid w:val="000C4546"/>
    <w:rsid w:val="000C4FD6"/>
    <w:rsid w:val="000C7AB0"/>
    <w:rsid w:val="000D3C34"/>
    <w:rsid w:val="000D48FD"/>
    <w:rsid w:val="000D4A46"/>
    <w:rsid w:val="000D569C"/>
    <w:rsid w:val="000E1A34"/>
    <w:rsid w:val="000E20FE"/>
    <w:rsid w:val="000E3929"/>
    <w:rsid w:val="000E3D6F"/>
    <w:rsid w:val="000F1D8A"/>
    <w:rsid w:val="000F2D42"/>
    <w:rsid w:val="000F439F"/>
    <w:rsid w:val="000F5D15"/>
    <w:rsid w:val="000F6770"/>
    <w:rsid w:val="000F76E3"/>
    <w:rsid w:val="000F76FB"/>
    <w:rsid w:val="00100D10"/>
    <w:rsid w:val="00101669"/>
    <w:rsid w:val="00101B65"/>
    <w:rsid w:val="001050C8"/>
    <w:rsid w:val="00105BFE"/>
    <w:rsid w:val="00106913"/>
    <w:rsid w:val="00106AD8"/>
    <w:rsid w:val="00106E30"/>
    <w:rsid w:val="00107681"/>
    <w:rsid w:val="00107967"/>
    <w:rsid w:val="0011006E"/>
    <w:rsid w:val="001106A6"/>
    <w:rsid w:val="00110C8C"/>
    <w:rsid w:val="0011154A"/>
    <w:rsid w:val="00112329"/>
    <w:rsid w:val="00112490"/>
    <w:rsid w:val="00114F9A"/>
    <w:rsid w:val="0011542B"/>
    <w:rsid w:val="00116CAB"/>
    <w:rsid w:val="00121D66"/>
    <w:rsid w:val="00122A86"/>
    <w:rsid w:val="00122B72"/>
    <w:rsid w:val="001240BB"/>
    <w:rsid w:val="00124683"/>
    <w:rsid w:val="001249E5"/>
    <w:rsid w:val="001263B5"/>
    <w:rsid w:val="00126952"/>
    <w:rsid w:val="001274A6"/>
    <w:rsid w:val="001274EF"/>
    <w:rsid w:val="00127682"/>
    <w:rsid w:val="00130777"/>
    <w:rsid w:val="00130D64"/>
    <w:rsid w:val="00131056"/>
    <w:rsid w:val="00131B54"/>
    <w:rsid w:val="00133D4E"/>
    <w:rsid w:val="00134103"/>
    <w:rsid w:val="001376D3"/>
    <w:rsid w:val="001377F2"/>
    <w:rsid w:val="001406CF"/>
    <w:rsid w:val="00142AFA"/>
    <w:rsid w:val="00144276"/>
    <w:rsid w:val="00144315"/>
    <w:rsid w:val="00144F9F"/>
    <w:rsid w:val="00145930"/>
    <w:rsid w:val="0014672E"/>
    <w:rsid w:val="0014699D"/>
    <w:rsid w:val="00151251"/>
    <w:rsid w:val="00151C33"/>
    <w:rsid w:val="00151F6E"/>
    <w:rsid w:val="00154903"/>
    <w:rsid w:val="001558AE"/>
    <w:rsid w:val="00155ACF"/>
    <w:rsid w:val="001565AB"/>
    <w:rsid w:val="00156ECD"/>
    <w:rsid w:val="00157E8E"/>
    <w:rsid w:val="00165544"/>
    <w:rsid w:val="00165D20"/>
    <w:rsid w:val="0016621C"/>
    <w:rsid w:val="00166DF2"/>
    <w:rsid w:val="00167FAE"/>
    <w:rsid w:val="00170764"/>
    <w:rsid w:val="001711A1"/>
    <w:rsid w:val="001712BA"/>
    <w:rsid w:val="00171797"/>
    <w:rsid w:val="00172CC7"/>
    <w:rsid w:val="00173BDE"/>
    <w:rsid w:val="00174398"/>
    <w:rsid w:val="00175244"/>
    <w:rsid w:val="0018470D"/>
    <w:rsid w:val="00184CB9"/>
    <w:rsid w:val="00187162"/>
    <w:rsid w:val="001871AF"/>
    <w:rsid w:val="00190DE7"/>
    <w:rsid w:val="00193A9E"/>
    <w:rsid w:val="00193B25"/>
    <w:rsid w:val="001945DD"/>
    <w:rsid w:val="00196AB2"/>
    <w:rsid w:val="001A3091"/>
    <w:rsid w:val="001A35BD"/>
    <w:rsid w:val="001A6B19"/>
    <w:rsid w:val="001B0BEC"/>
    <w:rsid w:val="001B0CCC"/>
    <w:rsid w:val="001B0DD8"/>
    <w:rsid w:val="001B1156"/>
    <w:rsid w:val="001B1738"/>
    <w:rsid w:val="001B1E67"/>
    <w:rsid w:val="001B3D0C"/>
    <w:rsid w:val="001B4FC4"/>
    <w:rsid w:val="001B5070"/>
    <w:rsid w:val="001B5F4E"/>
    <w:rsid w:val="001B77A3"/>
    <w:rsid w:val="001C0269"/>
    <w:rsid w:val="001C14A9"/>
    <w:rsid w:val="001C249D"/>
    <w:rsid w:val="001C254B"/>
    <w:rsid w:val="001C43E1"/>
    <w:rsid w:val="001C57E1"/>
    <w:rsid w:val="001C5F49"/>
    <w:rsid w:val="001C78CF"/>
    <w:rsid w:val="001C7D01"/>
    <w:rsid w:val="001D05DC"/>
    <w:rsid w:val="001D0E11"/>
    <w:rsid w:val="001D1213"/>
    <w:rsid w:val="001D1A36"/>
    <w:rsid w:val="001D1E99"/>
    <w:rsid w:val="001D268A"/>
    <w:rsid w:val="001D2B21"/>
    <w:rsid w:val="001D2ED8"/>
    <w:rsid w:val="001D4065"/>
    <w:rsid w:val="001D460D"/>
    <w:rsid w:val="001D47B2"/>
    <w:rsid w:val="001D48CE"/>
    <w:rsid w:val="001E1B28"/>
    <w:rsid w:val="001E23D7"/>
    <w:rsid w:val="001E2650"/>
    <w:rsid w:val="001E4A3A"/>
    <w:rsid w:val="001E4EFC"/>
    <w:rsid w:val="001E682B"/>
    <w:rsid w:val="001E725D"/>
    <w:rsid w:val="001F153C"/>
    <w:rsid w:val="001F19C7"/>
    <w:rsid w:val="001F3202"/>
    <w:rsid w:val="001F50BB"/>
    <w:rsid w:val="001F5D2F"/>
    <w:rsid w:val="001F649C"/>
    <w:rsid w:val="001F7001"/>
    <w:rsid w:val="001F73FA"/>
    <w:rsid w:val="001F76AC"/>
    <w:rsid w:val="00200CE0"/>
    <w:rsid w:val="00202A92"/>
    <w:rsid w:val="002046B7"/>
    <w:rsid w:val="002053C6"/>
    <w:rsid w:val="00205F81"/>
    <w:rsid w:val="00207ECF"/>
    <w:rsid w:val="002105B3"/>
    <w:rsid w:val="002109FE"/>
    <w:rsid w:val="002123EB"/>
    <w:rsid w:val="00212512"/>
    <w:rsid w:val="00215BD4"/>
    <w:rsid w:val="00216897"/>
    <w:rsid w:val="0022062B"/>
    <w:rsid w:val="00220F62"/>
    <w:rsid w:val="00221535"/>
    <w:rsid w:val="00225164"/>
    <w:rsid w:val="002264E9"/>
    <w:rsid w:val="00226651"/>
    <w:rsid w:val="00230836"/>
    <w:rsid w:val="00230C95"/>
    <w:rsid w:val="00230F97"/>
    <w:rsid w:val="002334D7"/>
    <w:rsid w:val="00233A0F"/>
    <w:rsid w:val="00233A28"/>
    <w:rsid w:val="00233D97"/>
    <w:rsid w:val="0023507B"/>
    <w:rsid w:val="00235E54"/>
    <w:rsid w:val="00236289"/>
    <w:rsid w:val="002368B0"/>
    <w:rsid w:val="002377EF"/>
    <w:rsid w:val="00237C83"/>
    <w:rsid w:val="00240648"/>
    <w:rsid w:val="0024151D"/>
    <w:rsid w:val="00241CBD"/>
    <w:rsid w:val="002423E9"/>
    <w:rsid w:val="0024584A"/>
    <w:rsid w:val="002460D9"/>
    <w:rsid w:val="00247DB2"/>
    <w:rsid w:val="00250DB0"/>
    <w:rsid w:val="00251223"/>
    <w:rsid w:val="00251F22"/>
    <w:rsid w:val="002535BB"/>
    <w:rsid w:val="00255672"/>
    <w:rsid w:val="00255FEC"/>
    <w:rsid w:val="00260808"/>
    <w:rsid w:val="00260909"/>
    <w:rsid w:val="0026120B"/>
    <w:rsid w:val="00262257"/>
    <w:rsid w:val="00264D2E"/>
    <w:rsid w:val="00266620"/>
    <w:rsid w:val="00267B01"/>
    <w:rsid w:val="00270272"/>
    <w:rsid w:val="002707DA"/>
    <w:rsid w:val="00271BC2"/>
    <w:rsid w:val="00273300"/>
    <w:rsid w:val="00273D29"/>
    <w:rsid w:val="00275C72"/>
    <w:rsid w:val="0027600D"/>
    <w:rsid w:val="0027638D"/>
    <w:rsid w:val="002763F8"/>
    <w:rsid w:val="00276476"/>
    <w:rsid w:val="00276F99"/>
    <w:rsid w:val="0028070C"/>
    <w:rsid w:val="00280EE2"/>
    <w:rsid w:val="002818D7"/>
    <w:rsid w:val="00282FAE"/>
    <w:rsid w:val="00283301"/>
    <w:rsid w:val="00283668"/>
    <w:rsid w:val="00283A4E"/>
    <w:rsid w:val="00283E8C"/>
    <w:rsid w:val="00284941"/>
    <w:rsid w:val="0028532C"/>
    <w:rsid w:val="002860A6"/>
    <w:rsid w:val="002907C5"/>
    <w:rsid w:val="00290E7C"/>
    <w:rsid w:val="0029158D"/>
    <w:rsid w:val="00291AD5"/>
    <w:rsid w:val="002929FD"/>
    <w:rsid w:val="0029305C"/>
    <w:rsid w:val="00293AFE"/>
    <w:rsid w:val="00293EE8"/>
    <w:rsid w:val="002943F3"/>
    <w:rsid w:val="002951E9"/>
    <w:rsid w:val="002A0A95"/>
    <w:rsid w:val="002A1585"/>
    <w:rsid w:val="002A2D78"/>
    <w:rsid w:val="002A349A"/>
    <w:rsid w:val="002A4AF2"/>
    <w:rsid w:val="002A5667"/>
    <w:rsid w:val="002A6772"/>
    <w:rsid w:val="002A6A4F"/>
    <w:rsid w:val="002B0655"/>
    <w:rsid w:val="002B418A"/>
    <w:rsid w:val="002B77B3"/>
    <w:rsid w:val="002C151C"/>
    <w:rsid w:val="002C4090"/>
    <w:rsid w:val="002C4763"/>
    <w:rsid w:val="002C5486"/>
    <w:rsid w:val="002C548E"/>
    <w:rsid w:val="002C618F"/>
    <w:rsid w:val="002D0019"/>
    <w:rsid w:val="002D183A"/>
    <w:rsid w:val="002D2247"/>
    <w:rsid w:val="002D239B"/>
    <w:rsid w:val="002D2AA6"/>
    <w:rsid w:val="002D2E64"/>
    <w:rsid w:val="002D3766"/>
    <w:rsid w:val="002D3AAB"/>
    <w:rsid w:val="002D414F"/>
    <w:rsid w:val="002D4661"/>
    <w:rsid w:val="002D58AD"/>
    <w:rsid w:val="002D68FE"/>
    <w:rsid w:val="002D75AD"/>
    <w:rsid w:val="002D78B9"/>
    <w:rsid w:val="002D7C32"/>
    <w:rsid w:val="002E3141"/>
    <w:rsid w:val="002E68B1"/>
    <w:rsid w:val="002E6C73"/>
    <w:rsid w:val="002E6D11"/>
    <w:rsid w:val="002F0779"/>
    <w:rsid w:val="002F259F"/>
    <w:rsid w:val="002F28F2"/>
    <w:rsid w:val="002F45C0"/>
    <w:rsid w:val="002F5A3C"/>
    <w:rsid w:val="002F5F39"/>
    <w:rsid w:val="002F6CBB"/>
    <w:rsid w:val="002F714D"/>
    <w:rsid w:val="002F7433"/>
    <w:rsid w:val="00301B7C"/>
    <w:rsid w:val="00301EFF"/>
    <w:rsid w:val="00302104"/>
    <w:rsid w:val="00303308"/>
    <w:rsid w:val="00303C07"/>
    <w:rsid w:val="00303D27"/>
    <w:rsid w:val="00304708"/>
    <w:rsid w:val="00306078"/>
    <w:rsid w:val="0030796C"/>
    <w:rsid w:val="0031064E"/>
    <w:rsid w:val="00311FB7"/>
    <w:rsid w:val="00313B6B"/>
    <w:rsid w:val="003146D6"/>
    <w:rsid w:val="00316CBA"/>
    <w:rsid w:val="00320FA0"/>
    <w:rsid w:val="00322573"/>
    <w:rsid w:val="003259B8"/>
    <w:rsid w:val="00326EB2"/>
    <w:rsid w:val="00330362"/>
    <w:rsid w:val="00331C8E"/>
    <w:rsid w:val="0033205D"/>
    <w:rsid w:val="0033254C"/>
    <w:rsid w:val="00332D09"/>
    <w:rsid w:val="00333E43"/>
    <w:rsid w:val="00334453"/>
    <w:rsid w:val="00334A61"/>
    <w:rsid w:val="00334DD1"/>
    <w:rsid w:val="00335298"/>
    <w:rsid w:val="00335553"/>
    <w:rsid w:val="0033580D"/>
    <w:rsid w:val="0033722B"/>
    <w:rsid w:val="00340A47"/>
    <w:rsid w:val="00342DCC"/>
    <w:rsid w:val="00343C6F"/>
    <w:rsid w:val="00344B5C"/>
    <w:rsid w:val="00346F93"/>
    <w:rsid w:val="0035020E"/>
    <w:rsid w:val="00350A1B"/>
    <w:rsid w:val="00352B30"/>
    <w:rsid w:val="00352BCD"/>
    <w:rsid w:val="003538C3"/>
    <w:rsid w:val="00353F20"/>
    <w:rsid w:val="003543E8"/>
    <w:rsid w:val="00354EC0"/>
    <w:rsid w:val="00357078"/>
    <w:rsid w:val="00357C9C"/>
    <w:rsid w:val="003601F7"/>
    <w:rsid w:val="00360384"/>
    <w:rsid w:val="00360748"/>
    <w:rsid w:val="00364DA0"/>
    <w:rsid w:val="0036759C"/>
    <w:rsid w:val="003679D5"/>
    <w:rsid w:val="003700D2"/>
    <w:rsid w:val="0037042D"/>
    <w:rsid w:val="00370A01"/>
    <w:rsid w:val="00370D2A"/>
    <w:rsid w:val="00371074"/>
    <w:rsid w:val="00371F84"/>
    <w:rsid w:val="0037392C"/>
    <w:rsid w:val="00373C41"/>
    <w:rsid w:val="003758EA"/>
    <w:rsid w:val="0037715E"/>
    <w:rsid w:val="00380686"/>
    <w:rsid w:val="00380B0C"/>
    <w:rsid w:val="00393F87"/>
    <w:rsid w:val="00394E46"/>
    <w:rsid w:val="00395F70"/>
    <w:rsid w:val="00396FFB"/>
    <w:rsid w:val="003A114C"/>
    <w:rsid w:val="003A1846"/>
    <w:rsid w:val="003A226E"/>
    <w:rsid w:val="003A47F2"/>
    <w:rsid w:val="003A6BB9"/>
    <w:rsid w:val="003A6FC1"/>
    <w:rsid w:val="003B04AE"/>
    <w:rsid w:val="003B0BD6"/>
    <w:rsid w:val="003B3636"/>
    <w:rsid w:val="003B3FF9"/>
    <w:rsid w:val="003B6498"/>
    <w:rsid w:val="003C00D6"/>
    <w:rsid w:val="003C089B"/>
    <w:rsid w:val="003C2982"/>
    <w:rsid w:val="003C3426"/>
    <w:rsid w:val="003C382C"/>
    <w:rsid w:val="003C44BF"/>
    <w:rsid w:val="003C4B85"/>
    <w:rsid w:val="003C4C29"/>
    <w:rsid w:val="003C6864"/>
    <w:rsid w:val="003C7906"/>
    <w:rsid w:val="003D1D4F"/>
    <w:rsid w:val="003D25FA"/>
    <w:rsid w:val="003D3279"/>
    <w:rsid w:val="003D3481"/>
    <w:rsid w:val="003D3924"/>
    <w:rsid w:val="003D4190"/>
    <w:rsid w:val="003D45EA"/>
    <w:rsid w:val="003D5771"/>
    <w:rsid w:val="003E0191"/>
    <w:rsid w:val="003E0F10"/>
    <w:rsid w:val="003E1517"/>
    <w:rsid w:val="003E1D90"/>
    <w:rsid w:val="003E4255"/>
    <w:rsid w:val="003E6B5C"/>
    <w:rsid w:val="003E7945"/>
    <w:rsid w:val="003F1ACA"/>
    <w:rsid w:val="003F2397"/>
    <w:rsid w:val="003F269D"/>
    <w:rsid w:val="003F350C"/>
    <w:rsid w:val="003F479F"/>
    <w:rsid w:val="003F72E7"/>
    <w:rsid w:val="003F76A3"/>
    <w:rsid w:val="003F7C94"/>
    <w:rsid w:val="00400E80"/>
    <w:rsid w:val="0040234A"/>
    <w:rsid w:val="004038E6"/>
    <w:rsid w:val="00403D78"/>
    <w:rsid w:val="00404604"/>
    <w:rsid w:val="0040515A"/>
    <w:rsid w:val="0040694B"/>
    <w:rsid w:val="00406FB3"/>
    <w:rsid w:val="00407360"/>
    <w:rsid w:val="004073FB"/>
    <w:rsid w:val="0041001C"/>
    <w:rsid w:val="004108F1"/>
    <w:rsid w:val="00410BE6"/>
    <w:rsid w:val="004110EF"/>
    <w:rsid w:val="0041291E"/>
    <w:rsid w:val="004139C7"/>
    <w:rsid w:val="004145B7"/>
    <w:rsid w:val="004147B4"/>
    <w:rsid w:val="00414CF8"/>
    <w:rsid w:val="00415397"/>
    <w:rsid w:val="004153DD"/>
    <w:rsid w:val="00415C73"/>
    <w:rsid w:val="00416DB1"/>
    <w:rsid w:val="004177C7"/>
    <w:rsid w:val="00420933"/>
    <w:rsid w:val="0042283E"/>
    <w:rsid w:val="004236B7"/>
    <w:rsid w:val="00425088"/>
    <w:rsid w:val="004250D7"/>
    <w:rsid w:val="00426BD2"/>
    <w:rsid w:val="00426D85"/>
    <w:rsid w:val="004273FF"/>
    <w:rsid w:val="004279A3"/>
    <w:rsid w:val="004304BC"/>
    <w:rsid w:val="0043058A"/>
    <w:rsid w:val="00431941"/>
    <w:rsid w:val="00432847"/>
    <w:rsid w:val="00433415"/>
    <w:rsid w:val="004340C1"/>
    <w:rsid w:val="00435078"/>
    <w:rsid w:val="004350CB"/>
    <w:rsid w:val="00436768"/>
    <w:rsid w:val="004373A4"/>
    <w:rsid w:val="0043782A"/>
    <w:rsid w:val="00437CDF"/>
    <w:rsid w:val="00437F43"/>
    <w:rsid w:val="00440D24"/>
    <w:rsid w:val="00440F21"/>
    <w:rsid w:val="0044195E"/>
    <w:rsid w:val="00441B81"/>
    <w:rsid w:val="00442162"/>
    <w:rsid w:val="00444EF2"/>
    <w:rsid w:val="004458F9"/>
    <w:rsid w:val="00445E70"/>
    <w:rsid w:val="00445FDF"/>
    <w:rsid w:val="00450BA8"/>
    <w:rsid w:val="0045197C"/>
    <w:rsid w:val="00453620"/>
    <w:rsid w:val="0045380D"/>
    <w:rsid w:val="00455097"/>
    <w:rsid w:val="004556DE"/>
    <w:rsid w:val="00455A22"/>
    <w:rsid w:val="00461337"/>
    <w:rsid w:val="0046140F"/>
    <w:rsid w:val="004620B9"/>
    <w:rsid w:val="00462CD9"/>
    <w:rsid w:val="00464E8B"/>
    <w:rsid w:val="00464F2F"/>
    <w:rsid w:val="00465BB9"/>
    <w:rsid w:val="00471306"/>
    <w:rsid w:val="00472377"/>
    <w:rsid w:val="004724E2"/>
    <w:rsid w:val="0047281A"/>
    <w:rsid w:val="00475400"/>
    <w:rsid w:val="0047552E"/>
    <w:rsid w:val="0047564F"/>
    <w:rsid w:val="00475B9E"/>
    <w:rsid w:val="00475C2F"/>
    <w:rsid w:val="00477024"/>
    <w:rsid w:val="00477896"/>
    <w:rsid w:val="00480BE8"/>
    <w:rsid w:val="00482DBA"/>
    <w:rsid w:val="004835A1"/>
    <w:rsid w:val="004838BA"/>
    <w:rsid w:val="00484B5D"/>
    <w:rsid w:val="00485DE4"/>
    <w:rsid w:val="00486629"/>
    <w:rsid w:val="004919A1"/>
    <w:rsid w:val="00492D39"/>
    <w:rsid w:val="0049549E"/>
    <w:rsid w:val="00495FE2"/>
    <w:rsid w:val="004967D4"/>
    <w:rsid w:val="0049686A"/>
    <w:rsid w:val="00497DAC"/>
    <w:rsid w:val="004A091C"/>
    <w:rsid w:val="004A0B38"/>
    <w:rsid w:val="004A26FA"/>
    <w:rsid w:val="004A5D98"/>
    <w:rsid w:val="004B1C68"/>
    <w:rsid w:val="004B1DC2"/>
    <w:rsid w:val="004B4B64"/>
    <w:rsid w:val="004B5152"/>
    <w:rsid w:val="004B6CD5"/>
    <w:rsid w:val="004B7136"/>
    <w:rsid w:val="004C23E7"/>
    <w:rsid w:val="004C2506"/>
    <w:rsid w:val="004C3676"/>
    <w:rsid w:val="004C737C"/>
    <w:rsid w:val="004D05C3"/>
    <w:rsid w:val="004D0F67"/>
    <w:rsid w:val="004D1B07"/>
    <w:rsid w:val="004D20F4"/>
    <w:rsid w:val="004D425A"/>
    <w:rsid w:val="004D49D3"/>
    <w:rsid w:val="004E0118"/>
    <w:rsid w:val="004E049D"/>
    <w:rsid w:val="004E0559"/>
    <w:rsid w:val="004E27E1"/>
    <w:rsid w:val="004E2BE7"/>
    <w:rsid w:val="004E36D4"/>
    <w:rsid w:val="004E3991"/>
    <w:rsid w:val="004E791B"/>
    <w:rsid w:val="004F1245"/>
    <w:rsid w:val="004F1254"/>
    <w:rsid w:val="004F131F"/>
    <w:rsid w:val="004F1670"/>
    <w:rsid w:val="004F2F6E"/>
    <w:rsid w:val="004F3510"/>
    <w:rsid w:val="004F3891"/>
    <w:rsid w:val="004F4D0B"/>
    <w:rsid w:val="004F4E95"/>
    <w:rsid w:val="004F4F5F"/>
    <w:rsid w:val="004F618F"/>
    <w:rsid w:val="004F6897"/>
    <w:rsid w:val="004F77E8"/>
    <w:rsid w:val="005006F6"/>
    <w:rsid w:val="00502D34"/>
    <w:rsid w:val="00505F13"/>
    <w:rsid w:val="005065C0"/>
    <w:rsid w:val="0051358C"/>
    <w:rsid w:val="00513AE1"/>
    <w:rsid w:val="00515916"/>
    <w:rsid w:val="00521366"/>
    <w:rsid w:val="005215D1"/>
    <w:rsid w:val="005219CD"/>
    <w:rsid w:val="00521B60"/>
    <w:rsid w:val="00523A4B"/>
    <w:rsid w:val="00523CB5"/>
    <w:rsid w:val="005243CF"/>
    <w:rsid w:val="00524531"/>
    <w:rsid w:val="00525ED8"/>
    <w:rsid w:val="00530F02"/>
    <w:rsid w:val="005316E4"/>
    <w:rsid w:val="00533077"/>
    <w:rsid w:val="005338E8"/>
    <w:rsid w:val="005348FC"/>
    <w:rsid w:val="00541AAF"/>
    <w:rsid w:val="00544A65"/>
    <w:rsid w:val="00544F39"/>
    <w:rsid w:val="0054590E"/>
    <w:rsid w:val="00550B5E"/>
    <w:rsid w:val="00550FDA"/>
    <w:rsid w:val="00551612"/>
    <w:rsid w:val="00552BC4"/>
    <w:rsid w:val="005531A2"/>
    <w:rsid w:val="00555F5B"/>
    <w:rsid w:val="005564E4"/>
    <w:rsid w:val="00556BBC"/>
    <w:rsid w:val="00560A16"/>
    <w:rsid w:val="00562D58"/>
    <w:rsid w:val="005648C6"/>
    <w:rsid w:val="00567565"/>
    <w:rsid w:val="0057030F"/>
    <w:rsid w:val="0057079A"/>
    <w:rsid w:val="00571192"/>
    <w:rsid w:val="00571CE5"/>
    <w:rsid w:val="005721C0"/>
    <w:rsid w:val="005728E9"/>
    <w:rsid w:val="0057440B"/>
    <w:rsid w:val="005745A7"/>
    <w:rsid w:val="00580434"/>
    <w:rsid w:val="005814EB"/>
    <w:rsid w:val="00581CDC"/>
    <w:rsid w:val="00581E10"/>
    <w:rsid w:val="00585681"/>
    <w:rsid w:val="00586C46"/>
    <w:rsid w:val="00590C3D"/>
    <w:rsid w:val="005916BD"/>
    <w:rsid w:val="00591E80"/>
    <w:rsid w:val="005940BC"/>
    <w:rsid w:val="0059418D"/>
    <w:rsid w:val="00594869"/>
    <w:rsid w:val="00594A6C"/>
    <w:rsid w:val="00595D4F"/>
    <w:rsid w:val="005A3C81"/>
    <w:rsid w:val="005A3F29"/>
    <w:rsid w:val="005A478C"/>
    <w:rsid w:val="005A5506"/>
    <w:rsid w:val="005A5A5E"/>
    <w:rsid w:val="005A71FF"/>
    <w:rsid w:val="005A76E8"/>
    <w:rsid w:val="005A7ED1"/>
    <w:rsid w:val="005B1DD6"/>
    <w:rsid w:val="005B2429"/>
    <w:rsid w:val="005B244A"/>
    <w:rsid w:val="005B244D"/>
    <w:rsid w:val="005B2AE9"/>
    <w:rsid w:val="005B2C94"/>
    <w:rsid w:val="005B3FDF"/>
    <w:rsid w:val="005B4EF0"/>
    <w:rsid w:val="005C004D"/>
    <w:rsid w:val="005C0FE1"/>
    <w:rsid w:val="005C1987"/>
    <w:rsid w:val="005C4CE3"/>
    <w:rsid w:val="005C4E72"/>
    <w:rsid w:val="005C4FF6"/>
    <w:rsid w:val="005C74E6"/>
    <w:rsid w:val="005C7D67"/>
    <w:rsid w:val="005D038E"/>
    <w:rsid w:val="005D1248"/>
    <w:rsid w:val="005D26FA"/>
    <w:rsid w:val="005D38C8"/>
    <w:rsid w:val="005D50AA"/>
    <w:rsid w:val="005D61B1"/>
    <w:rsid w:val="005D753C"/>
    <w:rsid w:val="005E1AB2"/>
    <w:rsid w:val="005E2670"/>
    <w:rsid w:val="005E30F3"/>
    <w:rsid w:val="005E3571"/>
    <w:rsid w:val="005E3AD3"/>
    <w:rsid w:val="005E3DB2"/>
    <w:rsid w:val="005E4BAD"/>
    <w:rsid w:val="005E5160"/>
    <w:rsid w:val="005E5411"/>
    <w:rsid w:val="005E5581"/>
    <w:rsid w:val="005E6FC9"/>
    <w:rsid w:val="005F2A75"/>
    <w:rsid w:val="005F4C4E"/>
    <w:rsid w:val="005F5161"/>
    <w:rsid w:val="005F6FB8"/>
    <w:rsid w:val="005F75BF"/>
    <w:rsid w:val="00600F5E"/>
    <w:rsid w:val="00601C2D"/>
    <w:rsid w:val="006028C0"/>
    <w:rsid w:val="00602EE2"/>
    <w:rsid w:val="00603C7B"/>
    <w:rsid w:val="0060401C"/>
    <w:rsid w:val="00605B73"/>
    <w:rsid w:val="00605E09"/>
    <w:rsid w:val="00607C52"/>
    <w:rsid w:val="00610C73"/>
    <w:rsid w:val="00611601"/>
    <w:rsid w:val="006118A0"/>
    <w:rsid w:val="00611D2A"/>
    <w:rsid w:val="006143EA"/>
    <w:rsid w:val="006145B2"/>
    <w:rsid w:val="006148F9"/>
    <w:rsid w:val="006153E9"/>
    <w:rsid w:val="00615644"/>
    <w:rsid w:val="00615B95"/>
    <w:rsid w:val="00617736"/>
    <w:rsid w:val="00620514"/>
    <w:rsid w:val="00620FE2"/>
    <w:rsid w:val="00623C91"/>
    <w:rsid w:val="00624379"/>
    <w:rsid w:val="00624792"/>
    <w:rsid w:val="00624D6E"/>
    <w:rsid w:val="00627032"/>
    <w:rsid w:val="00627A4B"/>
    <w:rsid w:val="00627EA9"/>
    <w:rsid w:val="00630DB2"/>
    <w:rsid w:val="00631589"/>
    <w:rsid w:val="00633FD8"/>
    <w:rsid w:val="006342C3"/>
    <w:rsid w:val="00634D49"/>
    <w:rsid w:val="00634FA2"/>
    <w:rsid w:val="006350D8"/>
    <w:rsid w:val="00635A54"/>
    <w:rsid w:val="00635DCE"/>
    <w:rsid w:val="00635EFF"/>
    <w:rsid w:val="00636E08"/>
    <w:rsid w:val="006375EC"/>
    <w:rsid w:val="00637CF2"/>
    <w:rsid w:val="006400F7"/>
    <w:rsid w:val="0064115D"/>
    <w:rsid w:val="00641797"/>
    <w:rsid w:val="00643340"/>
    <w:rsid w:val="006440B2"/>
    <w:rsid w:val="0064585E"/>
    <w:rsid w:val="0064589D"/>
    <w:rsid w:val="00645CF8"/>
    <w:rsid w:val="0064667C"/>
    <w:rsid w:val="0064669B"/>
    <w:rsid w:val="00647023"/>
    <w:rsid w:val="00650D44"/>
    <w:rsid w:val="006513E4"/>
    <w:rsid w:val="00651ED9"/>
    <w:rsid w:val="0065582C"/>
    <w:rsid w:val="00655B61"/>
    <w:rsid w:val="00657154"/>
    <w:rsid w:val="0066082D"/>
    <w:rsid w:val="00660F49"/>
    <w:rsid w:val="006619DC"/>
    <w:rsid w:val="006626C0"/>
    <w:rsid w:val="0066293F"/>
    <w:rsid w:val="00662A38"/>
    <w:rsid w:val="006643DC"/>
    <w:rsid w:val="00664A85"/>
    <w:rsid w:val="00665477"/>
    <w:rsid w:val="00667416"/>
    <w:rsid w:val="00667F02"/>
    <w:rsid w:val="0067021A"/>
    <w:rsid w:val="0067300A"/>
    <w:rsid w:val="006746AD"/>
    <w:rsid w:val="00676163"/>
    <w:rsid w:val="00676CA2"/>
    <w:rsid w:val="00682119"/>
    <w:rsid w:val="0068355A"/>
    <w:rsid w:val="00687AF3"/>
    <w:rsid w:val="0069010F"/>
    <w:rsid w:val="00692B70"/>
    <w:rsid w:val="00694341"/>
    <w:rsid w:val="00694820"/>
    <w:rsid w:val="00694B51"/>
    <w:rsid w:val="00694D34"/>
    <w:rsid w:val="00694D4E"/>
    <w:rsid w:val="006951A6"/>
    <w:rsid w:val="006956D3"/>
    <w:rsid w:val="0069649C"/>
    <w:rsid w:val="006978F7"/>
    <w:rsid w:val="0069793A"/>
    <w:rsid w:val="006A02DE"/>
    <w:rsid w:val="006A044B"/>
    <w:rsid w:val="006A18C7"/>
    <w:rsid w:val="006A23BC"/>
    <w:rsid w:val="006A279A"/>
    <w:rsid w:val="006A285E"/>
    <w:rsid w:val="006A28C8"/>
    <w:rsid w:val="006A2A73"/>
    <w:rsid w:val="006A3CE2"/>
    <w:rsid w:val="006A58DC"/>
    <w:rsid w:val="006A7199"/>
    <w:rsid w:val="006B087B"/>
    <w:rsid w:val="006B4334"/>
    <w:rsid w:val="006B4ACC"/>
    <w:rsid w:val="006B522E"/>
    <w:rsid w:val="006B611E"/>
    <w:rsid w:val="006B65C2"/>
    <w:rsid w:val="006B79B3"/>
    <w:rsid w:val="006B7CAE"/>
    <w:rsid w:val="006B7DC6"/>
    <w:rsid w:val="006B7E4E"/>
    <w:rsid w:val="006B7FB2"/>
    <w:rsid w:val="006C1020"/>
    <w:rsid w:val="006C3207"/>
    <w:rsid w:val="006C3861"/>
    <w:rsid w:val="006C4317"/>
    <w:rsid w:val="006C4FD8"/>
    <w:rsid w:val="006C6AFE"/>
    <w:rsid w:val="006C7E91"/>
    <w:rsid w:val="006D0254"/>
    <w:rsid w:val="006D0F87"/>
    <w:rsid w:val="006D2542"/>
    <w:rsid w:val="006D282F"/>
    <w:rsid w:val="006D2B3B"/>
    <w:rsid w:val="006D51A3"/>
    <w:rsid w:val="006D7280"/>
    <w:rsid w:val="006D746A"/>
    <w:rsid w:val="006E112A"/>
    <w:rsid w:val="006E449B"/>
    <w:rsid w:val="006E4FA3"/>
    <w:rsid w:val="006E4FAF"/>
    <w:rsid w:val="006E5379"/>
    <w:rsid w:val="006E6F22"/>
    <w:rsid w:val="006E71B3"/>
    <w:rsid w:val="006F3967"/>
    <w:rsid w:val="006F3BCD"/>
    <w:rsid w:val="006F3D41"/>
    <w:rsid w:val="00700626"/>
    <w:rsid w:val="00700E78"/>
    <w:rsid w:val="00702EA3"/>
    <w:rsid w:val="007039C9"/>
    <w:rsid w:val="00703A09"/>
    <w:rsid w:val="00704693"/>
    <w:rsid w:val="00707788"/>
    <w:rsid w:val="007131D1"/>
    <w:rsid w:val="007201DB"/>
    <w:rsid w:val="0072144E"/>
    <w:rsid w:val="007231EE"/>
    <w:rsid w:val="00723D6B"/>
    <w:rsid w:val="00725304"/>
    <w:rsid w:val="007254F6"/>
    <w:rsid w:val="007275BF"/>
    <w:rsid w:val="00730FF6"/>
    <w:rsid w:val="007332B1"/>
    <w:rsid w:val="00735167"/>
    <w:rsid w:val="0073524B"/>
    <w:rsid w:val="00735EFD"/>
    <w:rsid w:val="007370C1"/>
    <w:rsid w:val="00737289"/>
    <w:rsid w:val="00737629"/>
    <w:rsid w:val="00740706"/>
    <w:rsid w:val="00740F50"/>
    <w:rsid w:val="00741BBB"/>
    <w:rsid w:val="007439B8"/>
    <w:rsid w:val="00745380"/>
    <w:rsid w:val="0074568C"/>
    <w:rsid w:val="0074643A"/>
    <w:rsid w:val="00750670"/>
    <w:rsid w:val="00750A1F"/>
    <w:rsid w:val="00751EAB"/>
    <w:rsid w:val="007575D0"/>
    <w:rsid w:val="00757AD5"/>
    <w:rsid w:val="00757F6A"/>
    <w:rsid w:val="0076024D"/>
    <w:rsid w:val="00760A12"/>
    <w:rsid w:val="00763943"/>
    <w:rsid w:val="00763C93"/>
    <w:rsid w:val="00764C5F"/>
    <w:rsid w:val="0076571D"/>
    <w:rsid w:val="00767D93"/>
    <w:rsid w:val="00770F6A"/>
    <w:rsid w:val="007719AD"/>
    <w:rsid w:val="00772D23"/>
    <w:rsid w:val="007732EA"/>
    <w:rsid w:val="00773509"/>
    <w:rsid w:val="00773ABF"/>
    <w:rsid w:val="00775E0B"/>
    <w:rsid w:val="0078009B"/>
    <w:rsid w:val="0078012D"/>
    <w:rsid w:val="00780C11"/>
    <w:rsid w:val="00781769"/>
    <w:rsid w:val="00782638"/>
    <w:rsid w:val="00782A56"/>
    <w:rsid w:val="00782C85"/>
    <w:rsid w:val="007854D5"/>
    <w:rsid w:val="00785EBF"/>
    <w:rsid w:val="00786305"/>
    <w:rsid w:val="00786BF6"/>
    <w:rsid w:val="00786FA8"/>
    <w:rsid w:val="0078789A"/>
    <w:rsid w:val="00793C6D"/>
    <w:rsid w:val="007943BE"/>
    <w:rsid w:val="00794A0D"/>
    <w:rsid w:val="007952CC"/>
    <w:rsid w:val="00795FAA"/>
    <w:rsid w:val="00796C76"/>
    <w:rsid w:val="007A0D66"/>
    <w:rsid w:val="007A1189"/>
    <w:rsid w:val="007A1666"/>
    <w:rsid w:val="007A1805"/>
    <w:rsid w:val="007A395C"/>
    <w:rsid w:val="007A71AC"/>
    <w:rsid w:val="007A7334"/>
    <w:rsid w:val="007B046A"/>
    <w:rsid w:val="007B118A"/>
    <w:rsid w:val="007B36CB"/>
    <w:rsid w:val="007B3E4F"/>
    <w:rsid w:val="007B48A6"/>
    <w:rsid w:val="007B6322"/>
    <w:rsid w:val="007B6943"/>
    <w:rsid w:val="007B7C91"/>
    <w:rsid w:val="007C057F"/>
    <w:rsid w:val="007C0897"/>
    <w:rsid w:val="007C13B7"/>
    <w:rsid w:val="007C21F1"/>
    <w:rsid w:val="007C2521"/>
    <w:rsid w:val="007C3C7F"/>
    <w:rsid w:val="007C454D"/>
    <w:rsid w:val="007C76D7"/>
    <w:rsid w:val="007C7FAF"/>
    <w:rsid w:val="007D0363"/>
    <w:rsid w:val="007D215E"/>
    <w:rsid w:val="007D2B92"/>
    <w:rsid w:val="007D2DF2"/>
    <w:rsid w:val="007D2EA2"/>
    <w:rsid w:val="007D356D"/>
    <w:rsid w:val="007D3B18"/>
    <w:rsid w:val="007D5057"/>
    <w:rsid w:val="007D5EE1"/>
    <w:rsid w:val="007D601E"/>
    <w:rsid w:val="007D60C0"/>
    <w:rsid w:val="007D7075"/>
    <w:rsid w:val="007D7F9C"/>
    <w:rsid w:val="007E23CD"/>
    <w:rsid w:val="007E34F0"/>
    <w:rsid w:val="007E3A31"/>
    <w:rsid w:val="007E3F6D"/>
    <w:rsid w:val="007E428D"/>
    <w:rsid w:val="007E429A"/>
    <w:rsid w:val="007E629C"/>
    <w:rsid w:val="007E645E"/>
    <w:rsid w:val="007E6589"/>
    <w:rsid w:val="007E7633"/>
    <w:rsid w:val="007F00EC"/>
    <w:rsid w:val="007F0446"/>
    <w:rsid w:val="007F2669"/>
    <w:rsid w:val="007F2FC5"/>
    <w:rsid w:val="007F436A"/>
    <w:rsid w:val="007F5183"/>
    <w:rsid w:val="007F72EA"/>
    <w:rsid w:val="007F781E"/>
    <w:rsid w:val="007F791C"/>
    <w:rsid w:val="007F7C02"/>
    <w:rsid w:val="00801849"/>
    <w:rsid w:val="00802838"/>
    <w:rsid w:val="0080449C"/>
    <w:rsid w:val="00806F4B"/>
    <w:rsid w:val="0081029D"/>
    <w:rsid w:val="00810A9F"/>
    <w:rsid w:val="00810F5E"/>
    <w:rsid w:val="00811011"/>
    <w:rsid w:val="00811679"/>
    <w:rsid w:val="00812259"/>
    <w:rsid w:val="00814FDC"/>
    <w:rsid w:val="008161A3"/>
    <w:rsid w:val="00820AC6"/>
    <w:rsid w:val="00824AC2"/>
    <w:rsid w:val="00824E99"/>
    <w:rsid w:val="008309C0"/>
    <w:rsid w:val="00830F70"/>
    <w:rsid w:val="00831968"/>
    <w:rsid w:val="00832F3B"/>
    <w:rsid w:val="00833DC7"/>
    <w:rsid w:val="00834B63"/>
    <w:rsid w:val="008351D7"/>
    <w:rsid w:val="00835D23"/>
    <w:rsid w:val="00836419"/>
    <w:rsid w:val="008416BC"/>
    <w:rsid w:val="008416D2"/>
    <w:rsid w:val="00841CFC"/>
    <w:rsid w:val="008429BA"/>
    <w:rsid w:val="008429F2"/>
    <w:rsid w:val="00843661"/>
    <w:rsid w:val="00843B2A"/>
    <w:rsid w:val="0084406A"/>
    <w:rsid w:val="0084500E"/>
    <w:rsid w:val="008459FD"/>
    <w:rsid w:val="00851232"/>
    <w:rsid w:val="008533F0"/>
    <w:rsid w:val="00855940"/>
    <w:rsid w:val="00856114"/>
    <w:rsid w:val="00861A62"/>
    <w:rsid w:val="00862070"/>
    <w:rsid w:val="00862E29"/>
    <w:rsid w:val="008647A0"/>
    <w:rsid w:val="008648FE"/>
    <w:rsid w:val="00864A36"/>
    <w:rsid w:val="008664BE"/>
    <w:rsid w:val="0086670F"/>
    <w:rsid w:val="00870528"/>
    <w:rsid w:val="00872F8A"/>
    <w:rsid w:val="00873697"/>
    <w:rsid w:val="008738F3"/>
    <w:rsid w:val="00876D7B"/>
    <w:rsid w:val="00877AB4"/>
    <w:rsid w:val="00877FB3"/>
    <w:rsid w:val="00880189"/>
    <w:rsid w:val="00880A8F"/>
    <w:rsid w:val="0088185D"/>
    <w:rsid w:val="00882363"/>
    <w:rsid w:val="008826B9"/>
    <w:rsid w:val="00883460"/>
    <w:rsid w:val="00883A4D"/>
    <w:rsid w:val="00884F67"/>
    <w:rsid w:val="008857B2"/>
    <w:rsid w:val="00886361"/>
    <w:rsid w:val="00886B9F"/>
    <w:rsid w:val="00890EF7"/>
    <w:rsid w:val="00891E11"/>
    <w:rsid w:val="0089296E"/>
    <w:rsid w:val="008943AC"/>
    <w:rsid w:val="00895EDF"/>
    <w:rsid w:val="008A0601"/>
    <w:rsid w:val="008A0632"/>
    <w:rsid w:val="008A0C03"/>
    <w:rsid w:val="008A2DB3"/>
    <w:rsid w:val="008A3E77"/>
    <w:rsid w:val="008A3F60"/>
    <w:rsid w:val="008A53D1"/>
    <w:rsid w:val="008A5B59"/>
    <w:rsid w:val="008B061F"/>
    <w:rsid w:val="008B08CA"/>
    <w:rsid w:val="008B257B"/>
    <w:rsid w:val="008B28F1"/>
    <w:rsid w:val="008B457B"/>
    <w:rsid w:val="008B5BD3"/>
    <w:rsid w:val="008B7714"/>
    <w:rsid w:val="008B7760"/>
    <w:rsid w:val="008C0181"/>
    <w:rsid w:val="008C284E"/>
    <w:rsid w:val="008C35DE"/>
    <w:rsid w:val="008C5743"/>
    <w:rsid w:val="008C690F"/>
    <w:rsid w:val="008D03E1"/>
    <w:rsid w:val="008D176B"/>
    <w:rsid w:val="008D2AB6"/>
    <w:rsid w:val="008D372B"/>
    <w:rsid w:val="008D49AE"/>
    <w:rsid w:val="008D56F7"/>
    <w:rsid w:val="008E1A5E"/>
    <w:rsid w:val="008E215D"/>
    <w:rsid w:val="008E2B3E"/>
    <w:rsid w:val="008E2C72"/>
    <w:rsid w:val="008E3262"/>
    <w:rsid w:val="008E4890"/>
    <w:rsid w:val="008E50AB"/>
    <w:rsid w:val="008E52AE"/>
    <w:rsid w:val="008E5DA6"/>
    <w:rsid w:val="008E7A19"/>
    <w:rsid w:val="008F02BF"/>
    <w:rsid w:val="008F07E6"/>
    <w:rsid w:val="008F2F43"/>
    <w:rsid w:val="008F3E94"/>
    <w:rsid w:val="008F442C"/>
    <w:rsid w:val="008F583C"/>
    <w:rsid w:val="008F5DFA"/>
    <w:rsid w:val="008F66FE"/>
    <w:rsid w:val="008F6EF7"/>
    <w:rsid w:val="00901D80"/>
    <w:rsid w:val="00901E45"/>
    <w:rsid w:val="00904169"/>
    <w:rsid w:val="0090452F"/>
    <w:rsid w:val="00904588"/>
    <w:rsid w:val="00905917"/>
    <w:rsid w:val="009117EC"/>
    <w:rsid w:val="009124ED"/>
    <w:rsid w:val="0091402C"/>
    <w:rsid w:val="00914236"/>
    <w:rsid w:val="00916852"/>
    <w:rsid w:val="00917C9E"/>
    <w:rsid w:val="0092124E"/>
    <w:rsid w:val="0092180A"/>
    <w:rsid w:val="00921C0D"/>
    <w:rsid w:val="00922AC1"/>
    <w:rsid w:val="00923FB4"/>
    <w:rsid w:val="0092412F"/>
    <w:rsid w:val="009242C5"/>
    <w:rsid w:val="00924922"/>
    <w:rsid w:val="00925C5F"/>
    <w:rsid w:val="009272A9"/>
    <w:rsid w:val="0093092C"/>
    <w:rsid w:val="009329AE"/>
    <w:rsid w:val="00933F99"/>
    <w:rsid w:val="009357B4"/>
    <w:rsid w:val="00935985"/>
    <w:rsid w:val="00936781"/>
    <w:rsid w:val="00937AD9"/>
    <w:rsid w:val="009417AC"/>
    <w:rsid w:val="00945C64"/>
    <w:rsid w:val="00951168"/>
    <w:rsid w:val="00952D1C"/>
    <w:rsid w:val="00953059"/>
    <w:rsid w:val="00954B36"/>
    <w:rsid w:val="009560C8"/>
    <w:rsid w:val="0095673B"/>
    <w:rsid w:val="00956C27"/>
    <w:rsid w:val="0095799B"/>
    <w:rsid w:val="0096037C"/>
    <w:rsid w:val="0096050F"/>
    <w:rsid w:val="00960C33"/>
    <w:rsid w:val="00962A35"/>
    <w:rsid w:val="009653CA"/>
    <w:rsid w:val="009659C2"/>
    <w:rsid w:val="00965CC5"/>
    <w:rsid w:val="009671AF"/>
    <w:rsid w:val="00967E8C"/>
    <w:rsid w:val="00970A89"/>
    <w:rsid w:val="0097115E"/>
    <w:rsid w:val="00971447"/>
    <w:rsid w:val="00972FB0"/>
    <w:rsid w:val="00973FAA"/>
    <w:rsid w:val="00975171"/>
    <w:rsid w:val="009760D5"/>
    <w:rsid w:val="0097713F"/>
    <w:rsid w:val="00980EC4"/>
    <w:rsid w:val="009816CD"/>
    <w:rsid w:val="009820CF"/>
    <w:rsid w:val="00982154"/>
    <w:rsid w:val="00982ECB"/>
    <w:rsid w:val="00982FA9"/>
    <w:rsid w:val="00983AE2"/>
    <w:rsid w:val="00985A09"/>
    <w:rsid w:val="00985D4E"/>
    <w:rsid w:val="00986600"/>
    <w:rsid w:val="00990474"/>
    <w:rsid w:val="00990E57"/>
    <w:rsid w:val="009913D2"/>
    <w:rsid w:val="009918AD"/>
    <w:rsid w:val="009A1B6C"/>
    <w:rsid w:val="009A2CEC"/>
    <w:rsid w:val="009A4E2B"/>
    <w:rsid w:val="009A64EB"/>
    <w:rsid w:val="009A68AD"/>
    <w:rsid w:val="009B03D4"/>
    <w:rsid w:val="009B0C71"/>
    <w:rsid w:val="009B0EA1"/>
    <w:rsid w:val="009B1BC4"/>
    <w:rsid w:val="009B2CAD"/>
    <w:rsid w:val="009B3246"/>
    <w:rsid w:val="009B46DB"/>
    <w:rsid w:val="009B4CEA"/>
    <w:rsid w:val="009B535A"/>
    <w:rsid w:val="009B5AB5"/>
    <w:rsid w:val="009B6477"/>
    <w:rsid w:val="009B67FA"/>
    <w:rsid w:val="009C15EC"/>
    <w:rsid w:val="009C2F3D"/>
    <w:rsid w:val="009C3106"/>
    <w:rsid w:val="009C3565"/>
    <w:rsid w:val="009C5632"/>
    <w:rsid w:val="009C5A68"/>
    <w:rsid w:val="009C5D53"/>
    <w:rsid w:val="009C5F08"/>
    <w:rsid w:val="009C763F"/>
    <w:rsid w:val="009D194A"/>
    <w:rsid w:val="009D2AB4"/>
    <w:rsid w:val="009D3A59"/>
    <w:rsid w:val="009D48C3"/>
    <w:rsid w:val="009D4C51"/>
    <w:rsid w:val="009D7BE0"/>
    <w:rsid w:val="009E0651"/>
    <w:rsid w:val="009E0890"/>
    <w:rsid w:val="009E12DD"/>
    <w:rsid w:val="009E1C9E"/>
    <w:rsid w:val="009E3DFD"/>
    <w:rsid w:val="009E49E1"/>
    <w:rsid w:val="009E58BE"/>
    <w:rsid w:val="009E62BB"/>
    <w:rsid w:val="009F0B9A"/>
    <w:rsid w:val="009F36E2"/>
    <w:rsid w:val="009F4858"/>
    <w:rsid w:val="009F5F6F"/>
    <w:rsid w:val="009F6A8F"/>
    <w:rsid w:val="00A00108"/>
    <w:rsid w:val="00A01403"/>
    <w:rsid w:val="00A01809"/>
    <w:rsid w:val="00A02C67"/>
    <w:rsid w:val="00A03734"/>
    <w:rsid w:val="00A03B46"/>
    <w:rsid w:val="00A03D88"/>
    <w:rsid w:val="00A040D7"/>
    <w:rsid w:val="00A05420"/>
    <w:rsid w:val="00A05647"/>
    <w:rsid w:val="00A06ADF"/>
    <w:rsid w:val="00A07199"/>
    <w:rsid w:val="00A07267"/>
    <w:rsid w:val="00A074C9"/>
    <w:rsid w:val="00A07F1F"/>
    <w:rsid w:val="00A11668"/>
    <w:rsid w:val="00A12139"/>
    <w:rsid w:val="00A143BE"/>
    <w:rsid w:val="00A1542D"/>
    <w:rsid w:val="00A160E5"/>
    <w:rsid w:val="00A17430"/>
    <w:rsid w:val="00A17B56"/>
    <w:rsid w:val="00A21184"/>
    <w:rsid w:val="00A22B9D"/>
    <w:rsid w:val="00A237C2"/>
    <w:rsid w:val="00A25298"/>
    <w:rsid w:val="00A259B8"/>
    <w:rsid w:val="00A25B2D"/>
    <w:rsid w:val="00A3277E"/>
    <w:rsid w:val="00A358C1"/>
    <w:rsid w:val="00A35E58"/>
    <w:rsid w:val="00A364C5"/>
    <w:rsid w:val="00A37263"/>
    <w:rsid w:val="00A40979"/>
    <w:rsid w:val="00A40D3C"/>
    <w:rsid w:val="00A41DCD"/>
    <w:rsid w:val="00A44724"/>
    <w:rsid w:val="00A4593A"/>
    <w:rsid w:val="00A5045E"/>
    <w:rsid w:val="00A50DE6"/>
    <w:rsid w:val="00A518C6"/>
    <w:rsid w:val="00A51A75"/>
    <w:rsid w:val="00A51CB9"/>
    <w:rsid w:val="00A53E11"/>
    <w:rsid w:val="00A55BF6"/>
    <w:rsid w:val="00A567D6"/>
    <w:rsid w:val="00A56E13"/>
    <w:rsid w:val="00A56FCC"/>
    <w:rsid w:val="00A57293"/>
    <w:rsid w:val="00A579B3"/>
    <w:rsid w:val="00A60312"/>
    <w:rsid w:val="00A60C35"/>
    <w:rsid w:val="00A60CD9"/>
    <w:rsid w:val="00A61349"/>
    <w:rsid w:val="00A62B71"/>
    <w:rsid w:val="00A637AC"/>
    <w:rsid w:val="00A63E9D"/>
    <w:rsid w:val="00A66CC0"/>
    <w:rsid w:val="00A7055D"/>
    <w:rsid w:val="00A71475"/>
    <w:rsid w:val="00A71C71"/>
    <w:rsid w:val="00A75CA9"/>
    <w:rsid w:val="00A76EF8"/>
    <w:rsid w:val="00A7714D"/>
    <w:rsid w:val="00A77A4F"/>
    <w:rsid w:val="00A8012B"/>
    <w:rsid w:val="00A80178"/>
    <w:rsid w:val="00A801BA"/>
    <w:rsid w:val="00A81B9C"/>
    <w:rsid w:val="00A82D62"/>
    <w:rsid w:val="00A83491"/>
    <w:rsid w:val="00A8383F"/>
    <w:rsid w:val="00A83844"/>
    <w:rsid w:val="00A856D0"/>
    <w:rsid w:val="00A8605D"/>
    <w:rsid w:val="00A87C6B"/>
    <w:rsid w:val="00A9084E"/>
    <w:rsid w:val="00A9100E"/>
    <w:rsid w:val="00A917C6"/>
    <w:rsid w:val="00A92BAE"/>
    <w:rsid w:val="00A93513"/>
    <w:rsid w:val="00A95272"/>
    <w:rsid w:val="00A954FD"/>
    <w:rsid w:val="00A96041"/>
    <w:rsid w:val="00A9749B"/>
    <w:rsid w:val="00AA05A3"/>
    <w:rsid w:val="00AA23EE"/>
    <w:rsid w:val="00AA2C3E"/>
    <w:rsid w:val="00AA433C"/>
    <w:rsid w:val="00AA4CBD"/>
    <w:rsid w:val="00AA4D1C"/>
    <w:rsid w:val="00AA4EDE"/>
    <w:rsid w:val="00AA5BC5"/>
    <w:rsid w:val="00AA723F"/>
    <w:rsid w:val="00AB01F4"/>
    <w:rsid w:val="00AB0246"/>
    <w:rsid w:val="00AB2ADC"/>
    <w:rsid w:val="00AB6877"/>
    <w:rsid w:val="00AB719B"/>
    <w:rsid w:val="00AB7332"/>
    <w:rsid w:val="00AB7A73"/>
    <w:rsid w:val="00AC01B5"/>
    <w:rsid w:val="00AC08CD"/>
    <w:rsid w:val="00AC0920"/>
    <w:rsid w:val="00AC0B92"/>
    <w:rsid w:val="00AC0CE2"/>
    <w:rsid w:val="00AC1221"/>
    <w:rsid w:val="00AC157B"/>
    <w:rsid w:val="00AC3440"/>
    <w:rsid w:val="00AC3776"/>
    <w:rsid w:val="00AC400B"/>
    <w:rsid w:val="00AC5383"/>
    <w:rsid w:val="00AC5AF1"/>
    <w:rsid w:val="00AC706F"/>
    <w:rsid w:val="00AD1145"/>
    <w:rsid w:val="00AD2BE0"/>
    <w:rsid w:val="00AD2FA0"/>
    <w:rsid w:val="00AD3855"/>
    <w:rsid w:val="00AD578C"/>
    <w:rsid w:val="00AD6404"/>
    <w:rsid w:val="00AD740F"/>
    <w:rsid w:val="00AE0090"/>
    <w:rsid w:val="00AE06B0"/>
    <w:rsid w:val="00AE1E00"/>
    <w:rsid w:val="00AE3DAB"/>
    <w:rsid w:val="00AE3DFF"/>
    <w:rsid w:val="00AE4ACF"/>
    <w:rsid w:val="00AE5519"/>
    <w:rsid w:val="00AE6923"/>
    <w:rsid w:val="00AE6A8B"/>
    <w:rsid w:val="00AE6C5E"/>
    <w:rsid w:val="00AE7B64"/>
    <w:rsid w:val="00AE7B7E"/>
    <w:rsid w:val="00AF0995"/>
    <w:rsid w:val="00AF2609"/>
    <w:rsid w:val="00AF2788"/>
    <w:rsid w:val="00AF2804"/>
    <w:rsid w:val="00AF4AAE"/>
    <w:rsid w:val="00AF6202"/>
    <w:rsid w:val="00B00F1B"/>
    <w:rsid w:val="00B01925"/>
    <w:rsid w:val="00B0476C"/>
    <w:rsid w:val="00B05A40"/>
    <w:rsid w:val="00B06C56"/>
    <w:rsid w:val="00B06F64"/>
    <w:rsid w:val="00B073F2"/>
    <w:rsid w:val="00B0765D"/>
    <w:rsid w:val="00B103A7"/>
    <w:rsid w:val="00B10A46"/>
    <w:rsid w:val="00B1132F"/>
    <w:rsid w:val="00B12577"/>
    <w:rsid w:val="00B13F30"/>
    <w:rsid w:val="00B14993"/>
    <w:rsid w:val="00B14A98"/>
    <w:rsid w:val="00B15CDE"/>
    <w:rsid w:val="00B179EB"/>
    <w:rsid w:val="00B2061A"/>
    <w:rsid w:val="00B219C8"/>
    <w:rsid w:val="00B22332"/>
    <w:rsid w:val="00B229FF"/>
    <w:rsid w:val="00B2343D"/>
    <w:rsid w:val="00B23520"/>
    <w:rsid w:val="00B23F12"/>
    <w:rsid w:val="00B24B7A"/>
    <w:rsid w:val="00B25356"/>
    <w:rsid w:val="00B25BDB"/>
    <w:rsid w:val="00B265A1"/>
    <w:rsid w:val="00B26778"/>
    <w:rsid w:val="00B3107C"/>
    <w:rsid w:val="00B3319B"/>
    <w:rsid w:val="00B33A1D"/>
    <w:rsid w:val="00B34C04"/>
    <w:rsid w:val="00B36A0A"/>
    <w:rsid w:val="00B36B5A"/>
    <w:rsid w:val="00B37633"/>
    <w:rsid w:val="00B37FD8"/>
    <w:rsid w:val="00B4025D"/>
    <w:rsid w:val="00B41CCB"/>
    <w:rsid w:val="00B41DE0"/>
    <w:rsid w:val="00B43D96"/>
    <w:rsid w:val="00B466D8"/>
    <w:rsid w:val="00B47C27"/>
    <w:rsid w:val="00B51CF9"/>
    <w:rsid w:val="00B52247"/>
    <w:rsid w:val="00B535BB"/>
    <w:rsid w:val="00B56C3C"/>
    <w:rsid w:val="00B57BD8"/>
    <w:rsid w:val="00B61C50"/>
    <w:rsid w:val="00B62269"/>
    <w:rsid w:val="00B656E5"/>
    <w:rsid w:val="00B66B38"/>
    <w:rsid w:val="00B6785D"/>
    <w:rsid w:val="00B67BE4"/>
    <w:rsid w:val="00B67FF6"/>
    <w:rsid w:val="00B70536"/>
    <w:rsid w:val="00B707B0"/>
    <w:rsid w:val="00B70DC9"/>
    <w:rsid w:val="00B75874"/>
    <w:rsid w:val="00B77A04"/>
    <w:rsid w:val="00B81BF5"/>
    <w:rsid w:val="00B86DE3"/>
    <w:rsid w:val="00B87819"/>
    <w:rsid w:val="00B914F7"/>
    <w:rsid w:val="00B91686"/>
    <w:rsid w:val="00B92453"/>
    <w:rsid w:val="00B9343D"/>
    <w:rsid w:val="00B939E3"/>
    <w:rsid w:val="00B9409A"/>
    <w:rsid w:val="00B961CB"/>
    <w:rsid w:val="00B962E0"/>
    <w:rsid w:val="00B97013"/>
    <w:rsid w:val="00B97503"/>
    <w:rsid w:val="00BA2C00"/>
    <w:rsid w:val="00BA3B57"/>
    <w:rsid w:val="00BA556C"/>
    <w:rsid w:val="00BA5E7F"/>
    <w:rsid w:val="00BA7AC8"/>
    <w:rsid w:val="00BB0527"/>
    <w:rsid w:val="00BB19AA"/>
    <w:rsid w:val="00BB2A14"/>
    <w:rsid w:val="00BB353B"/>
    <w:rsid w:val="00BB417C"/>
    <w:rsid w:val="00BB488E"/>
    <w:rsid w:val="00BB5E1D"/>
    <w:rsid w:val="00BB5F2F"/>
    <w:rsid w:val="00BB60CC"/>
    <w:rsid w:val="00BB7C35"/>
    <w:rsid w:val="00BC117A"/>
    <w:rsid w:val="00BC224B"/>
    <w:rsid w:val="00BC3A84"/>
    <w:rsid w:val="00BC69FD"/>
    <w:rsid w:val="00BC7631"/>
    <w:rsid w:val="00BC7B11"/>
    <w:rsid w:val="00BD0A82"/>
    <w:rsid w:val="00BD0DCF"/>
    <w:rsid w:val="00BD1A5D"/>
    <w:rsid w:val="00BD24FF"/>
    <w:rsid w:val="00BD4462"/>
    <w:rsid w:val="00BD526E"/>
    <w:rsid w:val="00BD550C"/>
    <w:rsid w:val="00BD5F4D"/>
    <w:rsid w:val="00BD6CDF"/>
    <w:rsid w:val="00BD7908"/>
    <w:rsid w:val="00BE166D"/>
    <w:rsid w:val="00BE2134"/>
    <w:rsid w:val="00BE2DEE"/>
    <w:rsid w:val="00BE4993"/>
    <w:rsid w:val="00BE4A1D"/>
    <w:rsid w:val="00BE4A80"/>
    <w:rsid w:val="00BE5521"/>
    <w:rsid w:val="00BE6DEE"/>
    <w:rsid w:val="00BE724A"/>
    <w:rsid w:val="00BF013C"/>
    <w:rsid w:val="00BF3F50"/>
    <w:rsid w:val="00BF4064"/>
    <w:rsid w:val="00BF4390"/>
    <w:rsid w:val="00BF4C7B"/>
    <w:rsid w:val="00BF5A97"/>
    <w:rsid w:val="00BF6CD2"/>
    <w:rsid w:val="00BF6DCC"/>
    <w:rsid w:val="00BF6E72"/>
    <w:rsid w:val="00BF736D"/>
    <w:rsid w:val="00BF7A40"/>
    <w:rsid w:val="00BF7AAC"/>
    <w:rsid w:val="00C0004D"/>
    <w:rsid w:val="00C01F2C"/>
    <w:rsid w:val="00C01FF4"/>
    <w:rsid w:val="00C03176"/>
    <w:rsid w:val="00C031D7"/>
    <w:rsid w:val="00C0380F"/>
    <w:rsid w:val="00C03829"/>
    <w:rsid w:val="00C04433"/>
    <w:rsid w:val="00C068DD"/>
    <w:rsid w:val="00C0714A"/>
    <w:rsid w:val="00C07AF8"/>
    <w:rsid w:val="00C1189D"/>
    <w:rsid w:val="00C13299"/>
    <w:rsid w:val="00C13C72"/>
    <w:rsid w:val="00C14383"/>
    <w:rsid w:val="00C15FD6"/>
    <w:rsid w:val="00C21733"/>
    <w:rsid w:val="00C23144"/>
    <w:rsid w:val="00C24F1E"/>
    <w:rsid w:val="00C252F9"/>
    <w:rsid w:val="00C2568D"/>
    <w:rsid w:val="00C27435"/>
    <w:rsid w:val="00C27AF5"/>
    <w:rsid w:val="00C27BE1"/>
    <w:rsid w:val="00C31D2B"/>
    <w:rsid w:val="00C32ED5"/>
    <w:rsid w:val="00C3333E"/>
    <w:rsid w:val="00C33AC1"/>
    <w:rsid w:val="00C33C99"/>
    <w:rsid w:val="00C36315"/>
    <w:rsid w:val="00C40331"/>
    <w:rsid w:val="00C410B0"/>
    <w:rsid w:val="00C414AC"/>
    <w:rsid w:val="00C414D8"/>
    <w:rsid w:val="00C41699"/>
    <w:rsid w:val="00C416C9"/>
    <w:rsid w:val="00C41936"/>
    <w:rsid w:val="00C420C7"/>
    <w:rsid w:val="00C430F0"/>
    <w:rsid w:val="00C44555"/>
    <w:rsid w:val="00C44E28"/>
    <w:rsid w:val="00C459A1"/>
    <w:rsid w:val="00C475F1"/>
    <w:rsid w:val="00C47A12"/>
    <w:rsid w:val="00C51247"/>
    <w:rsid w:val="00C531FA"/>
    <w:rsid w:val="00C5729B"/>
    <w:rsid w:val="00C60218"/>
    <w:rsid w:val="00C60A58"/>
    <w:rsid w:val="00C60B26"/>
    <w:rsid w:val="00C63652"/>
    <w:rsid w:val="00C63F0D"/>
    <w:rsid w:val="00C6712C"/>
    <w:rsid w:val="00C7086A"/>
    <w:rsid w:val="00C761FC"/>
    <w:rsid w:val="00C7725E"/>
    <w:rsid w:val="00C80AA5"/>
    <w:rsid w:val="00C821D7"/>
    <w:rsid w:val="00C822CC"/>
    <w:rsid w:val="00C82F9D"/>
    <w:rsid w:val="00C83644"/>
    <w:rsid w:val="00C84658"/>
    <w:rsid w:val="00C84B49"/>
    <w:rsid w:val="00C85305"/>
    <w:rsid w:val="00C90CF9"/>
    <w:rsid w:val="00C9220D"/>
    <w:rsid w:val="00C9371D"/>
    <w:rsid w:val="00C93749"/>
    <w:rsid w:val="00C93778"/>
    <w:rsid w:val="00C93AF0"/>
    <w:rsid w:val="00C95AED"/>
    <w:rsid w:val="00C9642D"/>
    <w:rsid w:val="00C96BE3"/>
    <w:rsid w:val="00CA0A7F"/>
    <w:rsid w:val="00CA2099"/>
    <w:rsid w:val="00CA2C1A"/>
    <w:rsid w:val="00CA33AC"/>
    <w:rsid w:val="00CA53F6"/>
    <w:rsid w:val="00CA5CBA"/>
    <w:rsid w:val="00CA75ED"/>
    <w:rsid w:val="00CA7D0E"/>
    <w:rsid w:val="00CB0774"/>
    <w:rsid w:val="00CB1AD8"/>
    <w:rsid w:val="00CB282B"/>
    <w:rsid w:val="00CC04ED"/>
    <w:rsid w:val="00CC0656"/>
    <w:rsid w:val="00CC28C5"/>
    <w:rsid w:val="00CC2B2A"/>
    <w:rsid w:val="00CC46E4"/>
    <w:rsid w:val="00CC5578"/>
    <w:rsid w:val="00CC5655"/>
    <w:rsid w:val="00CC7CB0"/>
    <w:rsid w:val="00CD016D"/>
    <w:rsid w:val="00CD2ED5"/>
    <w:rsid w:val="00CD41AA"/>
    <w:rsid w:val="00CD4EB7"/>
    <w:rsid w:val="00CD6230"/>
    <w:rsid w:val="00CD6999"/>
    <w:rsid w:val="00CE0FAE"/>
    <w:rsid w:val="00CE30D8"/>
    <w:rsid w:val="00CE327B"/>
    <w:rsid w:val="00CE32D2"/>
    <w:rsid w:val="00CE392E"/>
    <w:rsid w:val="00CE5056"/>
    <w:rsid w:val="00CE7117"/>
    <w:rsid w:val="00CF007B"/>
    <w:rsid w:val="00CF03F6"/>
    <w:rsid w:val="00CF1971"/>
    <w:rsid w:val="00CF247C"/>
    <w:rsid w:val="00CF44B2"/>
    <w:rsid w:val="00CF451A"/>
    <w:rsid w:val="00CF4965"/>
    <w:rsid w:val="00CF5BF6"/>
    <w:rsid w:val="00CF5FBC"/>
    <w:rsid w:val="00CF636F"/>
    <w:rsid w:val="00CF6DCA"/>
    <w:rsid w:val="00CF7176"/>
    <w:rsid w:val="00D023D3"/>
    <w:rsid w:val="00D036E3"/>
    <w:rsid w:val="00D03755"/>
    <w:rsid w:val="00D06A96"/>
    <w:rsid w:val="00D07B18"/>
    <w:rsid w:val="00D103DC"/>
    <w:rsid w:val="00D106B5"/>
    <w:rsid w:val="00D14508"/>
    <w:rsid w:val="00D15A1A"/>
    <w:rsid w:val="00D15FF6"/>
    <w:rsid w:val="00D16C1C"/>
    <w:rsid w:val="00D17126"/>
    <w:rsid w:val="00D20613"/>
    <w:rsid w:val="00D210A3"/>
    <w:rsid w:val="00D2230E"/>
    <w:rsid w:val="00D22442"/>
    <w:rsid w:val="00D23365"/>
    <w:rsid w:val="00D23EE2"/>
    <w:rsid w:val="00D2430E"/>
    <w:rsid w:val="00D253A3"/>
    <w:rsid w:val="00D254A7"/>
    <w:rsid w:val="00D25919"/>
    <w:rsid w:val="00D25D6C"/>
    <w:rsid w:val="00D26C9C"/>
    <w:rsid w:val="00D26F66"/>
    <w:rsid w:val="00D27F3D"/>
    <w:rsid w:val="00D304BD"/>
    <w:rsid w:val="00D30DB6"/>
    <w:rsid w:val="00D32797"/>
    <w:rsid w:val="00D33EFD"/>
    <w:rsid w:val="00D352B1"/>
    <w:rsid w:val="00D36916"/>
    <w:rsid w:val="00D370AE"/>
    <w:rsid w:val="00D37CAF"/>
    <w:rsid w:val="00D40274"/>
    <w:rsid w:val="00D40A13"/>
    <w:rsid w:val="00D413EF"/>
    <w:rsid w:val="00D44FE3"/>
    <w:rsid w:val="00D47E6C"/>
    <w:rsid w:val="00D520B0"/>
    <w:rsid w:val="00D53E36"/>
    <w:rsid w:val="00D54C37"/>
    <w:rsid w:val="00D5524E"/>
    <w:rsid w:val="00D56411"/>
    <w:rsid w:val="00D56480"/>
    <w:rsid w:val="00D574D5"/>
    <w:rsid w:val="00D607E6"/>
    <w:rsid w:val="00D61452"/>
    <w:rsid w:val="00D62F16"/>
    <w:rsid w:val="00D65331"/>
    <w:rsid w:val="00D6553C"/>
    <w:rsid w:val="00D67060"/>
    <w:rsid w:val="00D671B2"/>
    <w:rsid w:val="00D7242F"/>
    <w:rsid w:val="00D72973"/>
    <w:rsid w:val="00D73439"/>
    <w:rsid w:val="00D73DD5"/>
    <w:rsid w:val="00D749BC"/>
    <w:rsid w:val="00D75A2C"/>
    <w:rsid w:val="00D760B1"/>
    <w:rsid w:val="00D76887"/>
    <w:rsid w:val="00D76C65"/>
    <w:rsid w:val="00D8089A"/>
    <w:rsid w:val="00D818B3"/>
    <w:rsid w:val="00D81CBC"/>
    <w:rsid w:val="00D83B05"/>
    <w:rsid w:val="00D84831"/>
    <w:rsid w:val="00D84B69"/>
    <w:rsid w:val="00D85E3F"/>
    <w:rsid w:val="00D868A0"/>
    <w:rsid w:val="00D869BA"/>
    <w:rsid w:val="00D870C1"/>
    <w:rsid w:val="00D870D1"/>
    <w:rsid w:val="00D87F50"/>
    <w:rsid w:val="00D92229"/>
    <w:rsid w:val="00D92A5B"/>
    <w:rsid w:val="00D9519D"/>
    <w:rsid w:val="00D95FC1"/>
    <w:rsid w:val="00D964DA"/>
    <w:rsid w:val="00D9740B"/>
    <w:rsid w:val="00DA052B"/>
    <w:rsid w:val="00DA0B86"/>
    <w:rsid w:val="00DA0F08"/>
    <w:rsid w:val="00DA2653"/>
    <w:rsid w:val="00DA36F3"/>
    <w:rsid w:val="00DA3736"/>
    <w:rsid w:val="00DA4C5F"/>
    <w:rsid w:val="00DA4FDC"/>
    <w:rsid w:val="00DA5EF9"/>
    <w:rsid w:val="00DA63BE"/>
    <w:rsid w:val="00DA679D"/>
    <w:rsid w:val="00DA735E"/>
    <w:rsid w:val="00DA76B4"/>
    <w:rsid w:val="00DB193C"/>
    <w:rsid w:val="00DB3AC3"/>
    <w:rsid w:val="00DB41BD"/>
    <w:rsid w:val="00DB475E"/>
    <w:rsid w:val="00DB4F9A"/>
    <w:rsid w:val="00DB50B9"/>
    <w:rsid w:val="00DB52DA"/>
    <w:rsid w:val="00DB71C4"/>
    <w:rsid w:val="00DC1EB5"/>
    <w:rsid w:val="00DD1E2C"/>
    <w:rsid w:val="00DD40F0"/>
    <w:rsid w:val="00DD5821"/>
    <w:rsid w:val="00DD647A"/>
    <w:rsid w:val="00DD6A67"/>
    <w:rsid w:val="00DD792F"/>
    <w:rsid w:val="00DE0AE4"/>
    <w:rsid w:val="00DE0B64"/>
    <w:rsid w:val="00DE1E1D"/>
    <w:rsid w:val="00DE2492"/>
    <w:rsid w:val="00DE2755"/>
    <w:rsid w:val="00DE3718"/>
    <w:rsid w:val="00DE392C"/>
    <w:rsid w:val="00DE3972"/>
    <w:rsid w:val="00DE3D80"/>
    <w:rsid w:val="00DE4235"/>
    <w:rsid w:val="00DE4BBD"/>
    <w:rsid w:val="00DE52CC"/>
    <w:rsid w:val="00DE65C4"/>
    <w:rsid w:val="00DE7095"/>
    <w:rsid w:val="00DF00FA"/>
    <w:rsid w:val="00DF0462"/>
    <w:rsid w:val="00DF0656"/>
    <w:rsid w:val="00DF0E5F"/>
    <w:rsid w:val="00DF1DBB"/>
    <w:rsid w:val="00DF3B5F"/>
    <w:rsid w:val="00DF4A99"/>
    <w:rsid w:val="00DF73C7"/>
    <w:rsid w:val="00E00F5D"/>
    <w:rsid w:val="00E01DE6"/>
    <w:rsid w:val="00E01F18"/>
    <w:rsid w:val="00E02561"/>
    <w:rsid w:val="00E05802"/>
    <w:rsid w:val="00E05C87"/>
    <w:rsid w:val="00E05D52"/>
    <w:rsid w:val="00E06B53"/>
    <w:rsid w:val="00E10C1B"/>
    <w:rsid w:val="00E13A6C"/>
    <w:rsid w:val="00E13FE2"/>
    <w:rsid w:val="00E17E8C"/>
    <w:rsid w:val="00E20825"/>
    <w:rsid w:val="00E21FA9"/>
    <w:rsid w:val="00E22659"/>
    <w:rsid w:val="00E226AF"/>
    <w:rsid w:val="00E228C3"/>
    <w:rsid w:val="00E22A62"/>
    <w:rsid w:val="00E23F48"/>
    <w:rsid w:val="00E24BF0"/>
    <w:rsid w:val="00E2524C"/>
    <w:rsid w:val="00E27BFA"/>
    <w:rsid w:val="00E32605"/>
    <w:rsid w:val="00E33BE4"/>
    <w:rsid w:val="00E347F4"/>
    <w:rsid w:val="00E363BC"/>
    <w:rsid w:val="00E3762D"/>
    <w:rsid w:val="00E37EE3"/>
    <w:rsid w:val="00E40249"/>
    <w:rsid w:val="00E40406"/>
    <w:rsid w:val="00E4065A"/>
    <w:rsid w:val="00E419C4"/>
    <w:rsid w:val="00E42472"/>
    <w:rsid w:val="00E42E5E"/>
    <w:rsid w:val="00E43704"/>
    <w:rsid w:val="00E45401"/>
    <w:rsid w:val="00E474DC"/>
    <w:rsid w:val="00E502F3"/>
    <w:rsid w:val="00E5063F"/>
    <w:rsid w:val="00E507C1"/>
    <w:rsid w:val="00E507E7"/>
    <w:rsid w:val="00E50E70"/>
    <w:rsid w:val="00E512FA"/>
    <w:rsid w:val="00E51FB2"/>
    <w:rsid w:val="00E52AD0"/>
    <w:rsid w:val="00E54293"/>
    <w:rsid w:val="00E545E2"/>
    <w:rsid w:val="00E55BCB"/>
    <w:rsid w:val="00E5751F"/>
    <w:rsid w:val="00E60CD6"/>
    <w:rsid w:val="00E61404"/>
    <w:rsid w:val="00E62DA7"/>
    <w:rsid w:val="00E64233"/>
    <w:rsid w:val="00E651DA"/>
    <w:rsid w:val="00E664C6"/>
    <w:rsid w:val="00E6730C"/>
    <w:rsid w:val="00E70898"/>
    <w:rsid w:val="00E7136A"/>
    <w:rsid w:val="00E71ADD"/>
    <w:rsid w:val="00E72497"/>
    <w:rsid w:val="00E727ED"/>
    <w:rsid w:val="00E739AC"/>
    <w:rsid w:val="00E76133"/>
    <w:rsid w:val="00E76FE0"/>
    <w:rsid w:val="00E800D3"/>
    <w:rsid w:val="00E80B9B"/>
    <w:rsid w:val="00E81338"/>
    <w:rsid w:val="00E82F52"/>
    <w:rsid w:val="00E84C60"/>
    <w:rsid w:val="00E850D2"/>
    <w:rsid w:val="00E850F4"/>
    <w:rsid w:val="00E85865"/>
    <w:rsid w:val="00E9291F"/>
    <w:rsid w:val="00E93459"/>
    <w:rsid w:val="00E94189"/>
    <w:rsid w:val="00E94D4D"/>
    <w:rsid w:val="00E94ECB"/>
    <w:rsid w:val="00E950C4"/>
    <w:rsid w:val="00E9590A"/>
    <w:rsid w:val="00E9606A"/>
    <w:rsid w:val="00E96D3B"/>
    <w:rsid w:val="00E96FEF"/>
    <w:rsid w:val="00E9788E"/>
    <w:rsid w:val="00EA0FF7"/>
    <w:rsid w:val="00EA4636"/>
    <w:rsid w:val="00EA5005"/>
    <w:rsid w:val="00EA6197"/>
    <w:rsid w:val="00EA6693"/>
    <w:rsid w:val="00EA76F9"/>
    <w:rsid w:val="00EA7710"/>
    <w:rsid w:val="00EB0E33"/>
    <w:rsid w:val="00EB2668"/>
    <w:rsid w:val="00EB2681"/>
    <w:rsid w:val="00EB7FBE"/>
    <w:rsid w:val="00EC0BAC"/>
    <w:rsid w:val="00EC1F7E"/>
    <w:rsid w:val="00EC3194"/>
    <w:rsid w:val="00EC3961"/>
    <w:rsid w:val="00EC44C4"/>
    <w:rsid w:val="00EC4922"/>
    <w:rsid w:val="00EC518E"/>
    <w:rsid w:val="00EC6208"/>
    <w:rsid w:val="00EC7AB9"/>
    <w:rsid w:val="00ED0C78"/>
    <w:rsid w:val="00ED1426"/>
    <w:rsid w:val="00ED1534"/>
    <w:rsid w:val="00ED50FD"/>
    <w:rsid w:val="00ED6A00"/>
    <w:rsid w:val="00EE0302"/>
    <w:rsid w:val="00EE0BC8"/>
    <w:rsid w:val="00EE179F"/>
    <w:rsid w:val="00EE3645"/>
    <w:rsid w:val="00EE4343"/>
    <w:rsid w:val="00EE5A08"/>
    <w:rsid w:val="00EE5B44"/>
    <w:rsid w:val="00EE614E"/>
    <w:rsid w:val="00EE68FE"/>
    <w:rsid w:val="00EF029E"/>
    <w:rsid w:val="00EF03F0"/>
    <w:rsid w:val="00EF041C"/>
    <w:rsid w:val="00EF14EE"/>
    <w:rsid w:val="00EF328A"/>
    <w:rsid w:val="00EF550A"/>
    <w:rsid w:val="00EF58DA"/>
    <w:rsid w:val="00F048F0"/>
    <w:rsid w:val="00F052DC"/>
    <w:rsid w:val="00F07573"/>
    <w:rsid w:val="00F1076F"/>
    <w:rsid w:val="00F107AC"/>
    <w:rsid w:val="00F109DB"/>
    <w:rsid w:val="00F10E25"/>
    <w:rsid w:val="00F12DD5"/>
    <w:rsid w:val="00F1340A"/>
    <w:rsid w:val="00F13481"/>
    <w:rsid w:val="00F14381"/>
    <w:rsid w:val="00F15BA0"/>
    <w:rsid w:val="00F16C67"/>
    <w:rsid w:val="00F16DE5"/>
    <w:rsid w:val="00F171B4"/>
    <w:rsid w:val="00F22B42"/>
    <w:rsid w:val="00F23044"/>
    <w:rsid w:val="00F23B23"/>
    <w:rsid w:val="00F24675"/>
    <w:rsid w:val="00F26502"/>
    <w:rsid w:val="00F307C5"/>
    <w:rsid w:val="00F30FD5"/>
    <w:rsid w:val="00F331A0"/>
    <w:rsid w:val="00F33745"/>
    <w:rsid w:val="00F338AA"/>
    <w:rsid w:val="00F36E64"/>
    <w:rsid w:val="00F3720B"/>
    <w:rsid w:val="00F37384"/>
    <w:rsid w:val="00F4242A"/>
    <w:rsid w:val="00F4423A"/>
    <w:rsid w:val="00F444FE"/>
    <w:rsid w:val="00F44A36"/>
    <w:rsid w:val="00F44B5B"/>
    <w:rsid w:val="00F47406"/>
    <w:rsid w:val="00F503DD"/>
    <w:rsid w:val="00F505A5"/>
    <w:rsid w:val="00F523E2"/>
    <w:rsid w:val="00F5295E"/>
    <w:rsid w:val="00F538E5"/>
    <w:rsid w:val="00F55330"/>
    <w:rsid w:val="00F56FFE"/>
    <w:rsid w:val="00F57FD6"/>
    <w:rsid w:val="00F6016A"/>
    <w:rsid w:val="00F61672"/>
    <w:rsid w:val="00F61C6C"/>
    <w:rsid w:val="00F61F00"/>
    <w:rsid w:val="00F62435"/>
    <w:rsid w:val="00F63A95"/>
    <w:rsid w:val="00F63B98"/>
    <w:rsid w:val="00F6422F"/>
    <w:rsid w:val="00F6759F"/>
    <w:rsid w:val="00F705BA"/>
    <w:rsid w:val="00F70674"/>
    <w:rsid w:val="00F70BB0"/>
    <w:rsid w:val="00F71018"/>
    <w:rsid w:val="00F71D93"/>
    <w:rsid w:val="00F7350D"/>
    <w:rsid w:val="00F73BE8"/>
    <w:rsid w:val="00F74333"/>
    <w:rsid w:val="00F7529C"/>
    <w:rsid w:val="00F757DF"/>
    <w:rsid w:val="00F7749C"/>
    <w:rsid w:val="00F80A99"/>
    <w:rsid w:val="00F825C7"/>
    <w:rsid w:val="00F831A3"/>
    <w:rsid w:val="00F83E9A"/>
    <w:rsid w:val="00F83FF5"/>
    <w:rsid w:val="00F84B58"/>
    <w:rsid w:val="00F86A49"/>
    <w:rsid w:val="00F86F7D"/>
    <w:rsid w:val="00F87604"/>
    <w:rsid w:val="00F87ABD"/>
    <w:rsid w:val="00F90124"/>
    <w:rsid w:val="00F90907"/>
    <w:rsid w:val="00F91A3C"/>
    <w:rsid w:val="00F93C27"/>
    <w:rsid w:val="00F94A8D"/>
    <w:rsid w:val="00F95634"/>
    <w:rsid w:val="00F95E8C"/>
    <w:rsid w:val="00F96E6B"/>
    <w:rsid w:val="00F97ABF"/>
    <w:rsid w:val="00F97EA7"/>
    <w:rsid w:val="00FA34D0"/>
    <w:rsid w:val="00FA55B4"/>
    <w:rsid w:val="00FA5F07"/>
    <w:rsid w:val="00FA70C5"/>
    <w:rsid w:val="00FB17EF"/>
    <w:rsid w:val="00FB30B5"/>
    <w:rsid w:val="00FB3C4A"/>
    <w:rsid w:val="00FB4E00"/>
    <w:rsid w:val="00FB55A9"/>
    <w:rsid w:val="00FB69C6"/>
    <w:rsid w:val="00FB770C"/>
    <w:rsid w:val="00FC0A76"/>
    <w:rsid w:val="00FC1532"/>
    <w:rsid w:val="00FC43EE"/>
    <w:rsid w:val="00FC5416"/>
    <w:rsid w:val="00FC5A7B"/>
    <w:rsid w:val="00FC612E"/>
    <w:rsid w:val="00FC653D"/>
    <w:rsid w:val="00FC6658"/>
    <w:rsid w:val="00FC719C"/>
    <w:rsid w:val="00FC7FCF"/>
    <w:rsid w:val="00FD0459"/>
    <w:rsid w:val="00FD0A25"/>
    <w:rsid w:val="00FD18F8"/>
    <w:rsid w:val="00FD1CF1"/>
    <w:rsid w:val="00FD20EF"/>
    <w:rsid w:val="00FD2476"/>
    <w:rsid w:val="00FD37D0"/>
    <w:rsid w:val="00FD4193"/>
    <w:rsid w:val="00FD4591"/>
    <w:rsid w:val="00FD4595"/>
    <w:rsid w:val="00FD52FF"/>
    <w:rsid w:val="00FD7B18"/>
    <w:rsid w:val="00FE02AD"/>
    <w:rsid w:val="00FE3AA3"/>
    <w:rsid w:val="00FE40BE"/>
    <w:rsid w:val="00FE4912"/>
    <w:rsid w:val="00FE4DC9"/>
    <w:rsid w:val="00FE5717"/>
    <w:rsid w:val="00FE5BFC"/>
    <w:rsid w:val="00FE5EAD"/>
    <w:rsid w:val="00FE6107"/>
    <w:rsid w:val="00FE67B7"/>
    <w:rsid w:val="00FE7EBE"/>
    <w:rsid w:val="00FF0A06"/>
    <w:rsid w:val="00FF0EBB"/>
    <w:rsid w:val="00FF1018"/>
    <w:rsid w:val="00FF27CA"/>
    <w:rsid w:val="00FF29B5"/>
    <w:rsid w:val="00FF4004"/>
    <w:rsid w:val="00FF5644"/>
    <w:rsid w:val="00FF69C9"/>
    <w:rsid w:val="00FF6E22"/>
    <w:rsid w:val="00FF79F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36C7B6C"/>
  <w15:docId w15:val="{88D1A4D5-D64E-4124-998B-F3E274F2FA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1ACA"/>
  </w:style>
  <w:style w:type="paragraph" w:styleId="Heading1">
    <w:name w:val="heading 1"/>
    <w:basedOn w:val="Normal"/>
    <w:next w:val="Normal"/>
    <w:link w:val="Heading1Char"/>
    <w:uiPriority w:val="9"/>
    <w:qFormat/>
    <w:rsid w:val="00C9371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B0E3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B0E33"/>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B0E33"/>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311FB7"/>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01F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1F18"/>
    <w:rPr>
      <w:rFonts w:ascii="Tahoma" w:hAnsi="Tahoma" w:cs="Tahoma"/>
      <w:sz w:val="16"/>
      <w:szCs w:val="16"/>
    </w:rPr>
  </w:style>
  <w:style w:type="character" w:customStyle="1" w:styleId="Heading1Char">
    <w:name w:val="Heading 1 Char"/>
    <w:basedOn w:val="DefaultParagraphFont"/>
    <w:link w:val="Heading1"/>
    <w:uiPriority w:val="9"/>
    <w:rsid w:val="00C9371D"/>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C9371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9371D"/>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C9371D"/>
    <w:pPr>
      <w:tabs>
        <w:tab w:val="center" w:pos="4513"/>
        <w:tab w:val="right" w:pos="9026"/>
      </w:tabs>
      <w:spacing w:after="0" w:line="240" w:lineRule="auto"/>
    </w:pPr>
  </w:style>
  <w:style w:type="character" w:customStyle="1" w:styleId="HeaderChar">
    <w:name w:val="Header Char"/>
    <w:basedOn w:val="DefaultParagraphFont"/>
    <w:link w:val="Header"/>
    <w:uiPriority w:val="99"/>
    <w:rsid w:val="00C9371D"/>
  </w:style>
  <w:style w:type="paragraph" w:styleId="Footer">
    <w:name w:val="footer"/>
    <w:basedOn w:val="Normal"/>
    <w:link w:val="FooterChar"/>
    <w:uiPriority w:val="99"/>
    <w:unhideWhenUsed/>
    <w:rsid w:val="00C9371D"/>
    <w:pPr>
      <w:tabs>
        <w:tab w:val="center" w:pos="4513"/>
        <w:tab w:val="right" w:pos="9026"/>
      </w:tabs>
      <w:spacing w:after="0" w:line="240" w:lineRule="auto"/>
    </w:pPr>
  </w:style>
  <w:style w:type="character" w:customStyle="1" w:styleId="FooterChar">
    <w:name w:val="Footer Char"/>
    <w:basedOn w:val="DefaultParagraphFont"/>
    <w:link w:val="Footer"/>
    <w:uiPriority w:val="99"/>
    <w:rsid w:val="00C9371D"/>
  </w:style>
  <w:style w:type="character" w:customStyle="1" w:styleId="Heading2Char">
    <w:name w:val="Heading 2 Char"/>
    <w:basedOn w:val="DefaultParagraphFont"/>
    <w:link w:val="Heading2"/>
    <w:uiPriority w:val="9"/>
    <w:rsid w:val="00EB0E33"/>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B0E33"/>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EB0E33"/>
    <w:rPr>
      <w:rFonts w:asciiTheme="majorHAnsi" w:eastAsiaTheme="majorEastAsia" w:hAnsiTheme="majorHAnsi" w:cstheme="majorBidi"/>
      <w:b/>
      <w:bCs/>
      <w:i/>
      <w:iCs/>
      <w:color w:val="4F81BD" w:themeColor="accent1"/>
    </w:rPr>
  </w:style>
  <w:style w:type="paragraph" w:styleId="ListParagraph">
    <w:name w:val="List Paragraph"/>
    <w:basedOn w:val="Normal"/>
    <w:uiPriority w:val="34"/>
    <w:qFormat/>
    <w:rsid w:val="00EB0E33"/>
    <w:pPr>
      <w:ind w:left="720"/>
      <w:contextualSpacing/>
    </w:pPr>
  </w:style>
  <w:style w:type="paragraph" w:styleId="Revision">
    <w:name w:val="Revision"/>
    <w:hidden/>
    <w:uiPriority w:val="99"/>
    <w:semiHidden/>
    <w:rsid w:val="00D07B18"/>
    <w:pPr>
      <w:spacing w:after="0" w:line="240" w:lineRule="auto"/>
    </w:pPr>
  </w:style>
  <w:style w:type="table" w:styleId="TableGrid">
    <w:name w:val="Table Grid"/>
    <w:basedOn w:val="TableNormal"/>
    <w:uiPriority w:val="59"/>
    <w:rsid w:val="004F6897"/>
    <w:pPr>
      <w:spacing w:after="0" w:line="240" w:lineRule="auto"/>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rsid w:val="00E76FE0"/>
    <w:pPr>
      <w:spacing w:after="0" w:line="240" w:lineRule="auto"/>
      <w:ind w:left="720"/>
      <w:jc w:val="both"/>
    </w:pPr>
    <w:rPr>
      <w:rFonts w:ascii="Times New Roman" w:eastAsia="Times New Roman" w:hAnsi="Times New Roman" w:cs="Times New Roman"/>
      <w:szCs w:val="20"/>
      <w:lang w:val="en-US"/>
    </w:rPr>
  </w:style>
  <w:style w:type="character" w:customStyle="1" w:styleId="BodyTextIndentChar">
    <w:name w:val="Body Text Indent Char"/>
    <w:basedOn w:val="DefaultParagraphFont"/>
    <w:link w:val="BodyTextIndent"/>
    <w:rsid w:val="00E76FE0"/>
    <w:rPr>
      <w:rFonts w:ascii="Times New Roman" w:eastAsia="Times New Roman" w:hAnsi="Times New Roman" w:cs="Times New Roman"/>
      <w:szCs w:val="20"/>
      <w:lang w:val="en-US"/>
    </w:rPr>
  </w:style>
  <w:style w:type="character" w:customStyle="1" w:styleId="citationref">
    <w:name w:val="citationref"/>
    <w:basedOn w:val="DefaultParagraphFont"/>
    <w:rsid w:val="00F15BA0"/>
  </w:style>
  <w:style w:type="character" w:styleId="Hyperlink">
    <w:name w:val="Hyperlink"/>
    <w:basedOn w:val="DefaultParagraphFont"/>
    <w:uiPriority w:val="99"/>
    <w:unhideWhenUsed/>
    <w:rsid w:val="00F15BA0"/>
    <w:rPr>
      <w:color w:val="0000FF"/>
      <w:u w:val="single"/>
    </w:rPr>
  </w:style>
  <w:style w:type="character" w:customStyle="1" w:styleId="internalref">
    <w:name w:val="internalref"/>
    <w:basedOn w:val="DefaultParagraphFont"/>
    <w:rsid w:val="009C3565"/>
  </w:style>
  <w:style w:type="character" w:styleId="Emphasis">
    <w:name w:val="Emphasis"/>
    <w:basedOn w:val="DefaultParagraphFont"/>
    <w:uiPriority w:val="20"/>
    <w:qFormat/>
    <w:rsid w:val="009C3565"/>
    <w:rPr>
      <w:i/>
      <w:iCs/>
    </w:rPr>
  </w:style>
  <w:style w:type="paragraph" w:customStyle="1" w:styleId="para">
    <w:name w:val="para"/>
    <w:basedOn w:val="Normal"/>
    <w:rsid w:val="008E215D"/>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NormalWeb">
    <w:name w:val="Normal (Web)"/>
    <w:basedOn w:val="Normal"/>
    <w:uiPriority w:val="99"/>
    <w:unhideWhenUsed/>
    <w:rsid w:val="008F02BF"/>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1D47B2"/>
    <w:rPr>
      <w:b/>
      <w:bCs/>
    </w:rPr>
  </w:style>
  <w:style w:type="paragraph" w:customStyle="1" w:styleId="p1">
    <w:name w:val="p1"/>
    <w:basedOn w:val="Normal"/>
    <w:rsid w:val="005F4C4E"/>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s1">
    <w:name w:val="s1"/>
    <w:basedOn w:val="DefaultParagraphFont"/>
    <w:rsid w:val="005F4C4E"/>
  </w:style>
  <w:style w:type="character" w:customStyle="1" w:styleId="Heading5Char">
    <w:name w:val="Heading 5 Char"/>
    <w:basedOn w:val="DefaultParagraphFont"/>
    <w:link w:val="Heading5"/>
    <w:uiPriority w:val="9"/>
    <w:semiHidden/>
    <w:rsid w:val="00311FB7"/>
    <w:rPr>
      <w:rFonts w:asciiTheme="majorHAnsi" w:eastAsiaTheme="majorEastAsia" w:hAnsiTheme="majorHAnsi" w:cstheme="majorBidi"/>
      <w:color w:val="365F91" w:themeColor="accent1" w:themeShade="BF"/>
    </w:rPr>
  </w:style>
  <w:style w:type="character" w:customStyle="1" w:styleId="UnresolvedMention1">
    <w:name w:val="Unresolved Mention1"/>
    <w:basedOn w:val="DefaultParagraphFont"/>
    <w:uiPriority w:val="99"/>
    <w:semiHidden/>
    <w:unhideWhenUsed/>
    <w:rsid w:val="00E651DA"/>
    <w:rPr>
      <w:color w:val="605E5C"/>
      <w:shd w:val="clear" w:color="auto" w:fill="E1DFDD"/>
    </w:rPr>
  </w:style>
  <w:style w:type="paragraph" w:styleId="Subtitle">
    <w:name w:val="Subtitle"/>
    <w:basedOn w:val="Normal"/>
    <w:next w:val="Normal"/>
    <w:link w:val="SubtitleChar"/>
    <w:uiPriority w:val="11"/>
    <w:qFormat/>
    <w:rsid w:val="00824E99"/>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824E99"/>
    <w:rPr>
      <w:rFonts w:eastAsiaTheme="minorEastAsia"/>
      <w:color w:val="5A5A5A" w:themeColor="text1" w:themeTint="A5"/>
      <w:spacing w:val="15"/>
    </w:rPr>
  </w:style>
  <w:style w:type="character" w:customStyle="1" w:styleId="UnresolvedMention2">
    <w:name w:val="Unresolved Mention2"/>
    <w:basedOn w:val="DefaultParagraphFont"/>
    <w:uiPriority w:val="99"/>
    <w:semiHidden/>
    <w:unhideWhenUsed/>
    <w:rsid w:val="00DD792F"/>
    <w:rPr>
      <w:color w:val="605E5C"/>
      <w:shd w:val="clear" w:color="auto" w:fill="E1DFDD"/>
    </w:rPr>
  </w:style>
  <w:style w:type="character" w:styleId="CommentReference">
    <w:name w:val="annotation reference"/>
    <w:basedOn w:val="DefaultParagraphFont"/>
    <w:uiPriority w:val="99"/>
    <w:semiHidden/>
    <w:unhideWhenUsed/>
    <w:rsid w:val="002929FD"/>
    <w:rPr>
      <w:sz w:val="18"/>
      <w:szCs w:val="18"/>
    </w:rPr>
  </w:style>
  <w:style w:type="paragraph" w:styleId="CommentText">
    <w:name w:val="annotation text"/>
    <w:basedOn w:val="Normal"/>
    <w:link w:val="CommentTextChar"/>
    <w:uiPriority w:val="99"/>
    <w:semiHidden/>
    <w:unhideWhenUsed/>
    <w:rsid w:val="002929FD"/>
    <w:pPr>
      <w:spacing w:line="240" w:lineRule="auto"/>
    </w:pPr>
    <w:rPr>
      <w:sz w:val="24"/>
      <w:szCs w:val="24"/>
    </w:rPr>
  </w:style>
  <w:style w:type="character" w:customStyle="1" w:styleId="CommentTextChar">
    <w:name w:val="Comment Text Char"/>
    <w:basedOn w:val="DefaultParagraphFont"/>
    <w:link w:val="CommentText"/>
    <w:uiPriority w:val="99"/>
    <w:semiHidden/>
    <w:rsid w:val="002929FD"/>
    <w:rPr>
      <w:sz w:val="24"/>
      <w:szCs w:val="24"/>
    </w:rPr>
  </w:style>
  <w:style w:type="paragraph" w:styleId="CommentSubject">
    <w:name w:val="annotation subject"/>
    <w:basedOn w:val="CommentText"/>
    <w:next w:val="CommentText"/>
    <w:link w:val="CommentSubjectChar"/>
    <w:uiPriority w:val="99"/>
    <w:semiHidden/>
    <w:unhideWhenUsed/>
    <w:rsid w:val="002929FD"/>
    <w:rPr>
      <w:b/>
      <w:bCs/>
      <w:sz w:val="20"/>
      <w:szCs w:val="20"/>
    </w:rPr>
  </w:style>
  <w:style w:type="character" w:customStyle="1" w:styleId="CommentSubjectChar">
    <w:name w:val="Comment Subject Char"/>
    <w:basedOn w:val="CommentTextChar"/>
    <w:link w:val="CommentSubject"/>
    <w:uiPriority w:val="99"/>
    <w:semiHidden/>
    <w:rsid w:val="002929FD"/>
    <w:rPr>
      <w:b/>
      <w:bCs/>
      <w:sz w:val="20"/>
      <w:szCs w:val="20"/>
    </w:rPr>
  </w:style>
  <w:style w:type="character" w:styleId="UnresolvedMention">
    <w:name w:val="Unresolved Mention"/>
    <w:basedOn w:val="DefaultParagraphFont"/>
    <w:uiPriority w:val="99"/>
    <w:rsid w:val="000F76FB"/>
    <w:rPr>
      <w:color w:val="605E5C"/>
      <w:shd w:val="clear" w:color="auto" w:fill="E1DFDD"/>
    </w:rPr>
  </w:style>
  <w:style w:type="paragraph" w:styleId="NoSpacing">
    <w:name w:val="No Spacing"/>
    <w:link w:val="NoSpacingChar"/>
    <w:uiPriority w:val="1"/>
    <w:qFormat/>
    <w:rsid w:val="00F86A49"/>
    <w:pPr>
      <w:spacing w:after="0" w:line="240" w:lineRule="auto"/>
    </w:pPr>
    <w:rPr>
      <w:rFonts w:ascii="Calibri" w:eastAsia="Times New Roman" w:hAnsi="Calibri" w:cs="Times New Roman"/>
      <w:lang w:val="en-US"/>
    </w:rPr>
  </w:style>
  <w:style w:type="character" w:customStyle="1" w:styleId="NoSpacingChar">
    <w:name w:val="No Spacing Char"/>
    <w:link w:val="NoSpacing"/>
    <w:uiPriority w:val="1"/>
    <w:rsid w:val="00F86A49"/>
    <w:rPr>
      <w:rFonts w:ascii="Calibri" w:eastAsia="Times New Roman" w:hAnsi="Calibri" w:cs="Times New Roman"/>
      <w:lang w:val="en-US"/>
    </w:rPr>
  </w:style>
  <w:style w:type="character" w:customStyle="1" w:styleId="apple-converted-space">
    <w:name w:val="apple-converted-space"/>
    <w:basedOn w:val="DefaultParagraphFont"/>
    <w:rsid w:val="00C420C7"/>
  </w:style>
  <w:style w:type="paragraph" w:styleId="TOC1">
    <w:name w:val="toc 1"/>
    <w:basedOn w:val="Normal"/>
    <w:next w:val="Normal"/>
    <w:autoRedefine/>
    <w:uiPriority w:val="39"/>
    <w:unhideWhenUsed/>
    <w:rsid w:val="00C420C7"/>
    <w:pPr>
      <w:spacing w:after="100"/>
    </w:pPr>
  </w:style>
  <w:style w:type="paragraph" w:styleId="TOC2">
    <w:name w:val="toc 2"/>
    <w:basedOn w:val="Normal"/>
    <w:next w:val="Normal"/>
    <w:autoRedefine/>
    <w:uiPriority w:val="39"/>
    <w:unhideWhenUsed/>
    <w:rsid w:val="00C420C7"/>
    <w:pPr>
      <w:spacing w:after="100"/>
      <w:ind w:left="220"/>
    </w:pPr>
  </w:style>
  <w:style w:type="paragraph" w:styleId="TOC3">
    <w:name w:val="toc 3"/>
    <w:basedOn w:val="Normal"/>
    <w:next w:val="Normal"/>
    <w:autoRedefine/>
    <w:uiPriority w:val="39"/>
    <w:unhideWhenUsed/>
    <w:rsid w:val="00C420C7"/>
    <w:pPr>
      <w:spacing w:after="100"/>
      <w:ind w:left="440"/>
    </w:pPr>
  </w:style>
  <w:style w:type="character" w:customStyle="1" w:styleId="vm-hook">
    <w:name w:val="vm-hook"/>
    <w:basedOn w:val="DefaultParagraphFont"/>
    <w:rsid w:val="00C420C7"/>
  </w:style>
  <w:style w:type="paragraph" w:styleId="TOC4">
    <w:name w:val="toc 4"/>
    <w:basedOn w:val="Normal"/>
    <w:next w:val="Normal"/>
    <w:autoRedefine/>
    <w:uiPriority w:val="39"/>
    <w:unhideWhenUsed/>
    <w:rsid w:val="00BD0A82"/>
    <w:pPr>
      <w:spacing w:after="100"/>
      <w:ind w:left="660"/>
    </w:pPr>
  </w:style>
  <w:style w:type="table" w:styleId="PlainTable2">
    <w:name w:val="Plain Table 2"/>
    <w:basedOn w:val="TableNormal"/>
    <w:uiPriority w:val="42"/>
    <w:rsid w:val="005E6FC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OCHeading">
    <w:name w:val="TOC Heading"/>
    <w:basedOn w:val="Heading1"/>
    <w:next w:val="Normal"/>
    <w:uiPriority w:val="39"/>
    <w:unhideWhenUsed/>
    <w:qFormat/>
    <w:rsid w:val="007719AD"/>
    <w:pPr>
      <w:spacing w:before="240" w:line="259" w:lineRule="auto"/>
      <w:outlineLvl w:val="9"/>
    </w:pPr>
    <w:rPr>
      <w:b w:val="0"/>
      <w:bCs w:val="0"/>
      <w:sz w:val="32"/>
      <w:szCs w:val="32"/>
      <w:lang w:val="en-US"/>
    </w:rPr>
  </w:style>
  <w:style w:type="character" w:styleId="FollowedHyperlink">
    <w:name w:val="FollowedHyperlink"/>
    <w:basedOn w:val="DefaultParagraphFont"/>
    <w:uiPriority w:val="99"/>
    <w:semiHidden/>
    <w:unhideWhenUsed/>
    <w:rsid w:val="00E664C6"/>
    <w:rPr>
      <w:color w:val="954F72"/>
      <w:u w:val="single"/>
    </w:rPr>
  </w:style>
  <w:style w:type="paragraph" w:customStyle="1" w:styleId="msonormal0">
    <w:name w:val="msonormal"/>
    <w:basedOn w:val="Normal"/>
    <w:rsid w:val="00E664C6"/>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5">
    <w:name w:val="xl65"/>
    <w:basedOn w:val="Normal"/>
    <w:rsid w:val="00E664C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66">
    <w:name w:val="xl66"/>
    <w:basedOn w:val="Normal"/>
    <w:rsid w:val="00E664C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67">
    <w:name w:val="xl67"/>
    <w:basedOn w:val="Normal"/>
    <w:rsid w:val="00E664C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68">
    <w:name w:val="xl68"/>
    <w:basedOn w:val="Normal"/>
    <w:rsid w:val="00E664C6"/>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69">
    <w:name w:val="xl69"/>
    <w:basedOn w:val="Normal"/>
    <w:rsid w:val="00E664C6"/>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Arial" w:eastAsia="Times New Roman" w:hAnsi="Arial" w:cs="Arial"/>
      <w:sz w:val="20"/>
      <w:szCs w:val="20"/>
      <w:lang w:eastAsia="en-AU"/>
    </w:rPr>
  </w:style>
  <w:style w:type="paragraph" w:customStyle="1" w:styleId="xl70">
    <w:name w:val="xl70"/>
    <w:basedOn w:val="Normal"/>
    <w:rsid w:val="00E664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71">
    <w:name w:val="xl71"/>
    <w:basedOn w:val="Normal"/>
    <w:rsid w:val="00E664C6"/>
    <w:pP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72">
    <w:name w:val="xl72"/>
    <w:basedOn w:val="Normal"/>
    <w:rsid w:val="00E664C6"/>
    <w:pPr>
      <w:pBdr>
        <w:top w:val="single" w:sz="4" w:space="0" w:color="auto"/>
        <w:bottom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73">
    <w:name w:val="xl73"/>
    <w:basedOn w:val="Normal"/>
    <w:rsid w:val="00E664C6"/>
    <w:pPr>
      <w:pBdr>
        <w:top w:val="single" w:sz="8" w:space="0" w:color="auto"/>
        <w:right w:val="single" w:sz="8" w:space="0" w:color="auto"/>
      </w:pBdr>
      <w:shd w:val="clear" w:color="000000" w:fill="FFFF00"/>
      <w:spacing w:before="100" w:beforeAutospacing="1" w:after="100" w:afterAutospacing="1" w:line="240" w:lineRule="auto"/>
      <w:jc w:val="right"/>
    </w:pPr>
    <w:rPr>
      <w:rFonts w:ascii="Arial" w:eastAsia="Times New Roman" w:hAnsi="Arial" w:cs="Arial"/>
      <w:color w:val="000000"/>
      <w:sz w:val="20"/>
      <w:szCs w:val="20"/>
      <w:lang w:eastAsia="en-AU"/>
    </w:rPr>
  </w:style>
  <w:style w:type="paragraph" w:customStyle="1" w:styleId="xl74">
    <w:name w:val="xl74"/>
    <w:basedOn w:val="Normal"/>
    <w:rsid w:val="00E664C6"/>
    <w:pPr>
      <w:pBdr>
        <w:top w:val="single" w:sz="4" w:space="0" w:color="auto"/>
        <w:left w:val="single" w:sz="4" w:space="0" w:color="auto"/>
        <w:right w:val="single" w:sz="8" w:space="0" w:color="auto"/>
      </w:pBdr>
      <w:shd w:val="clear" w:color="000000" w:fill="FFFF00"/>
      <w:spacing w:before="100" w:beforeAutospacing="1" w:after="100" w:afterAutospacing="1" w:line="240" w:lineRule="auto"/>
      <w:jc w:val="right"/>
    </w:pPr>
    <w:rPr>
      <w:rFonts w:ascii="Arial" w:eastAsia="Times New Roman" w:hAnsi="Arial" w:cs="Arial"/>
      <w:color w:val="000000"/>
      <w:sz w:val="20"/>
      <w:szCs w:val="20"/>
      <w:lang w:eastAsia="en-AU"/>
    </w:rPr>
  </w:style>
  <w:style w:type="paragraph" w:customStyle="1" w:styleId="xl75">
    <w:name w:val="xl75"/>
    <w:basedOn w:val="Normal"/>
    <w:rsid w:val="00E664C6"/>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right"/>
    </w:pPr>
    <w:rPr>
      <w:rFonts w:ascii="Arial" w:eastAsia="Times New Roman" w:hAnsi="Arial" w:cs="Arial"/>
      <w:color w:val="000000"/>
      <w:sz w:val="20"/>
      <w:szCs w:val="20"/>
      <w:lang w:eastAsia="en-AU"/>
    </w:rPr>
  </w:style>
  <w:style w:type="paragraph" w:customStyle="1" w:styleId="xl76">
    <w:name w:val="xl76"/>
    <w:basedOn w:val="Normal"/>
    <w:rsid w:val="00E664C6"/>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77">
    <w:name w:val="xl77"/>
    <w:basedOn w:val="Normal"/>
    <w:rsid w:val="00E664C6"/>
    <w:pPr>
      <w:pBdr>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78">
    <w:name w:val="xl78"/>
    <w:basedOn w:val="Normal"/>
    <w:rsid w:val="00E664C6"/>
    <w:pPr>
      <w:pBdr>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79">
    <w:name w:val="xl79"/>
    <w:basedOn w:val="Normal"/>
    <w:rsid w:val="00E664C6"/>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80">
    <w:name w:val="xl80"/>
    <w:basedOn w:val="Normal"/>
    <w:rsid w:val="00E664C6"/>
    <w:pPr>
      <w:pBdr>
        <w:top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81">
    <w:name w:val="xl81"/>
    <w:basedOn w:val="Normal"/>
    <w:rsid w:val="00E664C6"/>
    <w:pPr>
      <w:pBdr>
        <w:top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82">
    <w:name w:val="xl82"/>
    <w:basedOn w:val="Normal"/>
    <w:rsid w:val="00E664C6"/>
    <w:pPr>
      <w:pBdr>
        <w:top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83">
    <w:name w:val="xl83"/>
    <w:basedOn w:val="Normal"/>
    <w:rsid w:val="00E664C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84">
    <w:name w:val="xl84"/>
    <w:basedOn w:val="Normal"/>
    <w:rsid w:val="00E664C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85">
    <w:name w:val="xl85"/>
    <w:basedOn w:val="Normal"/>
    <w:rsid w:val="00E664C6"/>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86">
    <w:name w:val="xl86"/>
    <w:basedOn w:val="Normal"/>
    <w:rsid w:val="00E664C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87">
    <w:name w:val="xl87"/>
    <w:basedOn w:val="Normal"/>
    <w:rsid w:val="00E664C6"/>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88">
    <w:name w:val="xl88"/>
    <w:basedOn w:val="Normal"/>
    <w:rsid w:val="00E664C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89">
    <w:name w:val="xl89"/>
    <w:basedOn w:val="Normal"/>
    <w:rsid w:val="00E664C6"/>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96947">
      <w:bodyDiv w:val="1"/>
      <w:marLeft w:val="0"/>
      <w:marRight w:val="0"/>
      <w:marTop w:val="0"/>
      <w:marBottom w:val="0"/>
      <w:divBdr>
        <w:top w:val="none" w:sz="0" w:space="0" w:color="auto"/>
        <w:left w:val="none" w:sz="0" w:space="0" w:color="auto"/>
        <w:bottom w:val="none" w:sz="0" w:space="0" w:color="auto"/>
        <w:right w:val="none" w:sz="0" w:space="0" w:color="auto"/>
      </w:divBdr>
    </w:div>
    <w:div w:id="138108504">
      <w:bodyDiv w:val="1"/>
      <w:marLeft w:val="0"/>
      <w:marRight w:val="0"/>
      <w:marTop w:val="0"/>
      <w:marBottom w:val="0"/>
      <w:divBdr>
        <w:top w:val="none" w:sz="0" w:space="0" w:color="auto"/>
        <w:left w:val="none" w:sz="0" w:space="0" w:color="auto"/>
        <w:bottom w:val="none" w:sz="0" w:space="0" w:color="auto"/>
        <w:right w:val="none" w:sz="0" w:space="0" w:color="auto"/>
      </w:divBdr>
    </w:div>
    <w:div w:id="202059674">
      <w:bodyDiv w:val="1"/>
      <w:marLeft w:val="0"/>
      <w:marRight w:val="0"/>
      <w:marTop w:val="0"/>
      <w:marBottom w:val="0"/>
      <w:divBdr>
        <w:top w:val="none" w:sz="0" w:space="0" w:color="auto"/>
        <w:left w:val="none" w:sz="0" w:space="0" w:color="auto"/>
        <w:bottom w:val="none" w:sz="0" w:space="0" w:color="auto"/>
        <w:right w:val="none" w:sz="0" w:space="0" w:color="auto"/>
      </w:divBdr>
    </w:div>
    <w:div w:id="240676928">
      <w:bodyDiv w:val="1"/>
      <w:marLeft w:val="0"/>
      <w:marRight w:val="0"/>
      <w:marTop w:val="0"/>
      <w:marBottom w:val="0"/>
      <w:divBdr>
        <w:top w:val="none" w:sz="0" w:space="0" w:color="auto"/>
        <w:left w:val="none" w:sz="0" w:space="0" w:color="auto"/>
        <w:bottom w:val="none" w:sz="0" w:space="0" w:color="auto"/>
        <w:right w:val="none" w:sz="0" w:space="0" w:color="auto"/>
      </w:divBdr>
    </w:div>
    <w:div w:id="249510797">
      <w:bodyDiv w:val="1"/>
      <w:marLeft w:val="0"/>
      <w:marRight w:val="0"/>
      <w:marTop w:val="0"/>
      <w:marBottom w:val="0"/>
      <w:divBdr>
        <w:top w:val="none" w:sz="0" w:space="0" w:color="auto"/>
        <w:left w:val="none" w:sz="0" w:space="0" w:color="auto"/>
        <w:bottom w:val="none" w:sz="0" w:space="0" w:color="auto"/>
        <w:right w:val="none" w:sz="0" w:space="0" w:color="auto"/>
      </w:divBdr>
    </w:div>
    <w:div w:id="442504335">
      <w:bodyDiv w:val="1"/>
      <w:marLeft w:val="0"/>
      <w:marRight w:val="0"/>
      <w:marTop w:val="0"/>
      <w:marBottom w:val="0"/>
      <w:divBdr>
        <w:top w:val="none" w:sz="0" w:space="0" w:color="auto"/>
        <w:left w:val="none" w:sz="0" w:space="0" w:color="auto"/>
        <w:bottom w:val="none" w:sz="0" w:space="0" w:color="auto"/>
        <w:right w:val="none" w:sz="0" w:space="0" w:color="auto"/>
      </w:divBdr>
    </w:div>
    <w:div w:id="451097488">
      <w:bodyDiv w:val="1"/>
      <w:marLeft w:val="0"/>
      <w:marRight w:val="0"/>
      <w:marTop w:val="0"/>
      <w:marBottom w:val="0"/>
      <w:divBdr>
        <w:top w:val="none" w:sz="0" w:space="0" w:color="auto"/>
        <w:left w:val="none" w:sz="0" w:space="0" w:color="auto"/>
        <w:bottom w:val="none" w:sz="0" w:space="0" w:color="auto"/>
        <w:right w:val="none" w:sz="0" w:space="0" w:color="auto"/>
      </w:divBdr>
    </w:div>
    <w:div w:id="457651304">
      <w:bodyDiv w:val="1"/>
      <w:marLeft w:val="0"/>
      <w:marRight w:val="0"/>
      <w:marTop w:val="0"/>
      <w:marBottom w:val="0"/>
      <w:divBdr>
        <w:top w:val="none" w:sz="0" w:space="0" w:color="auto"/>
        <w:left w:val="none" w:sz="0" w:space="0" w:color="auto"/>
        <w:bottom w:val="none" w:sz="0" w:space="0" w:color="auto"/>
        <w:right w:val="none" w:sz="0" w:space="0" w:color="auto"/>
      </w:divBdr>
    </w:div>
    <w:div w:id="464546479">
      <w:bodyDiv w:val="1"/>
      <w:marLeft w:val="0"/>
      <w:marRight w:val="0"/>
      <w:marTop w:val="0"/>
      <w:marBottom w:val="0"/>
      <w:divBdr>
        <w:top w:val="none" w:sz="0" w:space="0" w:color="auto"/>
        <w:left w:val="none" w:sz="0" w:space="0" w:color="auto"/>
        <w:bottom w:val="none" w:sz="0" w:space="0" w:color="auto"/>
        <w:right w:val="none" w:sz="0" w:space="0" w:color="auto"/>
      </w:divBdr>
      <w:divsChild>
        <w:div w:id="984553157">
          <w:marLeft w:val="0"/>
          <w:marRight w:val="0"/>
          <w:marTop w:val="0"/>
          <w:marBottom w:val="315"/>
          <w:divBdr>
            <w:top w:val="none" w:sz="0" w:space="0" w:color="auto"/>
            <w:left w:val="none" w:sz="0" w:space="0" w:color="auto"/>
            <w:bottom w:val="none" w:sz="0" w:space="0" w:color="auto"/>
            <w:right w:val="none" w:sz="0" w:space="0" w:color="auto"/>
          </w:divBdr>
          <w:divsChild>
            <w:div w:id="777481485">
              <w:marLeft w:val="0"/>
              <w:marRight w:val="0"/>
              <w:marTop w:val="0"/>
              <w:marBottom w:val="0"/>
              <w:divBdr>
                <w:top w:val="none" w:sz="0" w:space="0" w:color="auto"/>
                <w:left w:val="none" w:sz="0" w:space="0" w:color="auto"/>
                <w:bottom w:val="none" w:sz="0" w:space="0" w:color="auto"/>
                <w:right w:val="none" w:sz="0" w:space="0" w:color="auto"/>
              </w:divBdr>
              <w:divsChild>
                <w:div w:id="1656446994">
                  <w:marLeft w:val="0"/>
                  <w:marRight w:val="570"/>
                  <w:marTop w:val="0"/>
                  <w:marBottom w:val="0"/>
                  <w:divBdr>
                    <w:top w:val="none" w:sz="0" w:space="0" w:color="auto"/>
                    <w:left w:val="none" w:sz="0" w:space="0" w:color="auto"/>
                    <w:bottom w:val="none" w:sz="0" w:space="0" w:color="auto"/>
                    <w:right w:val="none" w:sz="0" w:space="0" w:color="auto"/>
                  </w:divBdr>
                </w:div>
              </w:divsChild>
            </w:div>
          </w:divsChild>
        </w:div>
        <w:div w:id="1001157152">
          <w:marLeft w:val="0"/>
          <w:marRight w:val="0"/>
          <w:marTop w:val="0"/>
          <w:marBottom w:val="315"/>
          <w:divBdr>
            <w:top w:val="none" w:sz="0" w:space="0" w:color="auto"/>
            <w:left w:val="none" w:sz="0" w:space="0" w:color="auto"/>
            <w:bottom w:val="none" w:sz="0" w:space="0" w:color="auto"/>
            <w:right w:val="none" w:sz="0" w:space="0" w:color="auto"/>
          </w:divBdr>
          <w:divsChild>
            <w:div w:id="498496912">
              <w:marLeft w:val="0"/>
              <w:marRight w:val="0"/>
              <w:marTop w:val="0"/>
              <w:marBottom w:val="0"/>
              <w:divBdr>
                <w:top w:val="none" w:sz="0" w:space="0" w:color="auto"/>
                <w:left w:val="none" w:sz="0" w:space="0" w:color="auto"/>
                <w:bottom w:val="none" w:sz="0" w:space="0" w:color="auto"/>
                <w:right w:val="none" w:sz="0" w:space="0" w:color="auto"/>
              </w:divBdr>
              <w:divsChild>
                <w:div w:id="1223058563">
                  <w:marLeft w:val="0"/>
                  <w:marRight w:val="0"/>
                  <w:marTop w:val="0"/>
                  <w:marBottom w:val="0"/>
                  <w:divBdr>
                    <w:top w:val="none" w:sz="0" w:space="0" w:color="auto"/>
                    <w:left w:val="none" w:sz="0" w:space="0" w:color="auto"/>
                    <w:bottom w:val="none" w:sz="0" w:space="0" w:color="auto"/>
                    <w:right w:val="none" w:sz="0" w:space="0" w:color="auto"/>
                  </w:divBdr>
                  <w:divsChild>
                    <w:div w:id="1225873539">
                      <w:marLeft w:val="0"/>
                      <w:marRight w:val="0"/>
                      <w:marTop w:val="0"/>
                      <w:marBottom w:val="0"/>
                      <w:divBdr>
                        <w:top w:val="single" w:sz="6" w:space="0" w:color="333333"/>
                        <w:left w:val="single" w:sz="6" w:space="0" w:color="333333"/>
                        <w:bottom w:val="single" w:sz="6" w:space="0" w:color="333333"/>
                        <w:right w:val="single" w:sz="6" w:space="0" w:color="333333"/>
                      </w:divBdr>
                      <w:divsChild>
                        <w:div w:id="209197519">
                          <w:marLeft w:val="0"/>
                          <w:marRight w:val="0"/>
                          <w:marTop w:val="0"/>
                          <w:marBottom w:val="0"/>
                          <w:divBdr>
                            <w:top w:val="none" w:sz="0" w:space="0" w:color="auto"/>
                            <w:left w:val="none" w:sz="0" w:space="0" w:color="auto"/>
                            <w:bottom w:val="none" w:sz="0" w:space="0" w:color="auto"/>
                            <w:right w:val="none" w:sz="0" w:space="0" w:color="auto"/>
                          </w:divBdr>
                        </w:div>
                        <w:div w:id="240872788">
                          <w:marLeft w:val="0"/>
                          <w:marRight w:val="0"/>
                          <w:marTop w:val="0"/>
                          <w:marBottom w:val="0"/>
                          <w:divBdr>
                            <w:top w:val="none" w:sz="0" w:space="0" w:color="auto"/>
                            <w:left w:val="none" w:sz="0" w:space="0" w:color="auto"/>
                            <w:bottom w:val="none" w:sz="0" w:space="0" w:color="auto"/>
                            <w:right w:val="none" w:sz="0" w:space="0" w:color="auto"/>
                          </w:divBdr>
                        </w:div>
                        <w:div w:id="347222527">
                          <w:marLeft w:val="0"/>
                          <w:marRight w:val="0"/>
                          <w:marTop w:val="0"/>
                          <w:marBottom w:val="0"/>
                          <w:divBdr>
                            <w:top w:val="none" w:sz="0" w:space="0" w:color="auto"/>
                            <w:left w:val="none" w:sz="0" w:space="0" w:color="auto"/>
                            <w:bottom w:val="none" w:sz="0" w:space="0" w:color="auto"/>
                            <w:right w:val="none" w:sz="0" w:space="0" w:color="auto"/>
                          </w:divBdr>
                        </w:div>
                        <w:div w:id="380444998">
                          <w:marLeft w:val="0"/>
                          <w:marRight w:val="0"/>
                          <w:marTop w:val="0"/>
                          <w:marBottom w:val="0"/>
                          <w:divBdr>
                            <w:top w:val="none" w:sz="0" w:space="0" w:color="auto"/>
                            <w:left w:val="none" w:sz="0" w:space="0" w:color="auto"/>
                            <w:bottom w:val="none" w:sz="0" w:space="0" w:color="auto"/>
                            <w:right w:val="none" w:sz="0" w:space="0" w:color="auto"/>
                          </w:divBdr>
                        </w:div>
                        <w:div w:id="557087423">
                          <w:marLeft w:val="0"/>
                          <w:marRight w:val="0"/>
                          <w:marTop w:val="0"/>
                          <w:marBottom w:val="0"/>
                          <w:divBdr>
                            <w:top w:val="none" w:sz="0" w:space="0" w:color="auto"/>
                            <w:left w:val="none" w:sz="0" w:space="0" w:color="auto"/>
                            <w:bottom w:val="none" w:sz="0" w:space="0" w:color="auto"/>
                            <w:right w:val="none" w:sz="0" w:space="0" w:color="auto"/>
                          </w:divBdr>
                        </w:div>
                        <w:div w:id="760292984">
                          <w:marLeft w:val="0"/>
                          <w:marRight w:val="0"/>
                          <w:marTop w:val="0"/>
                          <w:marBottom w:val="0"/>
                          <w:divBdr>
                            <w:top w:val="none" w:sz="0" w:space="0" w:color="auto"/>
                            <w:left w:val="none" w:sz="0" w:space="0" w:color="auto"/>
                            <w:bottom w:val="none" w:sz="0" w:space="0" w:color="auto"/>
                            <w:right w:val="none" w:sz="0" w:space="0" w:color="auto"/>
                          </w:divBdr>
                        </w:div>
                        <w:div w:id="124434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5545311">
          <w:marLeft w:val="0"/>
          <w:marRight w:val="0"/>
          <w:marTop w:val="0"/>
          <w:marBottom w:val="315"/>
          <w:divBdr>
            <w:top w:val="none" w:sz="0" w:space="0" w:color="auto"/>
            <w:left w:val="none" w:sz="0" w:space="0" w:color="auto"/>
            <w:bottom w:val="none" w:sz="0" w:space="0" w:color="auto"/>
            <w:right w:val="none" w:sz="0" w:space="0" w:color="auto"/>
          </w:divBdr>
          <w:divsChild>
            <w:div w:id="1891184952">
              <w:marLeft w:val="0"/>
              <w:marRight w:val="0"/>
              <w:marTop w:val="0"/>
              <w:marBottom w:val="0"/>
              <w:divBdr>
                <w:top w:val="none" w:sz="0" w:space="0" w:color="auto"/>
                <w:left w:val="none" w:sz="0" w:space="0" w:color="auto"/>
                <w:bottom w:val="none" w:sz="0" w:space="0" w:color="auto"/>
                <w:right w:val="none" w:sz="0" w:space="0" w:color="auto"/>
              </w:divBdr>
              <w:divsChild>
                <w:div w:id="1136754666">
                  <w:marLeft w:val="0"/>
                  <w:marRight w:val="570"/>
                  <w:marTop w:val="0"/>
                  <w:marBottom w:val="0"/>
                  <w:divBdr>
                    <w:top w:val="none" w:sz="0" w:space="0" w:color="auto"/>
                    <w:left w:val="none" w:sz="0" w:space="0" w:color="auto"/>
                    <w:bottom w:val="none" w:sz="0" w:space="0" w:color="auto"/>
                    <w:right w:val="none" w:sz="0" w:space="0" w:color="auto"/>
                  </w:divBdr>
                </w:div>
                <w:div w:id="1344548950">
                  <w:marLeft w:val="0"/>
                  <w:marRight w:val="0"/>
                  <w:marTop w:val="0"/>
                  <w:marBottom w:val="0"/>
                  <w:divBdr>
                    <w:top w:val="none" w:sz="0" w:space="0" w:color="auto"/>
                    <w:left w:val="single" w:sz="6" w:space="12" w:color="FFCC00"/>
                    <w:bottom w:val="none" w:sz="0" w:space="0" w:color="auto"/>
                    <w:right w:val="none" w:sz="0" w:space="0" w:color="auto"/>
                  </w:divBdr>
                </w:div>
              </w:divsChild>
            </w:div>
          </w:divsChild>
        </w:div>
      </w:divsChild>
    </w:div>
    <w:div w:id="488592959">
      <w:bodyDiv w:val="1"/>
      <w:marLeft w:val="0"/>
      <w:marRight w:val="0"/>
      <w:marTop w:val="0"/>
      <w:marBottom w:val="0"/>
      <w:divBdr>
        <w:top w:val="none" w:sz="0" w:space="0" w:color="auto"/>
        <w:left w:val="none" w:sz="0" w:space="0" w:color="auto"/>
        <w:bottom w:val="none" w:sz="0" w:space="0" w:color="auto"/>
        <w:right w:val="none" w:sz="0" w:space="0" w:color="auto"/>
      </w:divBdr>
    </w:div>
    <w:div w:id="495730122">
      <w:bodyDiv w:val="1"/>
      <w:marLeft w:val="0"/>
      <w:marRight w:val="0"/>
      <w:marTop w:val="0"/>
      <w:marBottom w:val="0"/>
      <w:divBdr>
        <w:top w:val="none" w:sz="0" w:space="0" w:color="auto"/>
        <w:left w:val="none" w:sz="0" w:space="0" w:color="auto"/>
        <w:bottom w:val="none" w:sz="0" w:space="0" w:color="auto"/>
        <w:right w:val="none" w:sz="0" w:space="0" w:color="auto"/>
      </w:divBdr>
    </w:div>
    <w:div w:id="501505146">
      <w:bodyDiv w:val="1"/>
      <w:marLeft w:val="0"/>
      <w:marRight w:val="0"/>
      <w:marTop w:val="0"/>
      <w:marBottom w:val="0"/>
      <w:divBdr>
        <w:top w:val="none" w:sz="0" w:space="0" w:color="auto"/>
        <w:left w:val="none" w:sz="0" w:space="0" w:color="auto"/>
        <w:bottom w:val="none" w:sz="0" w:space="0" w:color="auto"/>
        <w:right w:val="none" w:sz="0" w:space="0" w:color="auto"/>
      </w:divBdr>
    </w:div>
    <w:div w:id="618726476">
      <w:bodyDiv w:val="1"/>
      <w:marLeft w:val="0"/>
      <w:marRight w:val="0"/>
      <w:marTop w:val="0"/>
      <w:marBottom w:val="0"/>
      <w:divBdr>
        <w:top w:val="none" w:sz="0" w:space="0" w:color="auto"/>
        <w:left w:val="none" w:sz="0" w:space="0" w:color="auto"/>
        <w:bottom w:val="none" w:sz="0" w:space="0" w:color="auto"/>
        <w:right w:val="none" w:sz="0" w:space="0" w:color="auto"/>
      </w:divBdr>
      <w:divsChild>
        <w:div w:id="137580192">
          <w:marLeft w:val="446"/>
          <w:marRight w:val="0"/>
          <w:marTop w:val="0"/>
          <w:marBottom w:val="120"/>
          <w:divBdr>
            <w:top w:val="none" w:sz="0" w:space="0" w:color="auto"/>
            <w:left w:val="none" w:sz="0" w:space="0" w:color="auto"/>
            <w:bottom w:val="none" w:sz="0" w:space="0" w:color="auto"/>
            <w:right w:val="none" w:sz="0" w:space="0" w:color="auto"/>
          </w:divBdr>
        </w:div>
        <w:div w:id="994917737">
          <w:marLeft w:val="446"/>
          <w:marRight w:val="0"/>
          <w:marTop w:val="0"/>
          <w:marBottom w:val="120"/>
          <w:divBdr>
            <w:top w:val="none" w:sz="0" w:space="0" w:color="auto"/>
            <w:left w:val="none" w:sz="0" w:space="0" w:color="auto"/>
            <w:bottom w:val="none" w:sz="0" w:space="0" w:color="auto"/>
            <w:right w:val="none" w:sz="0" w:space="0" w:color="auto"/>
          </w:divBdr>
        </w:div>
        <w:div w:id="1348949611">
          <w:marLeft w:val="446"/>
          <w:marRight w:val="0"/>
          <w:marTop w:val="0"/>
          <w:marBottom w:val="120"/>
          <w:divBdr>
            <w:top w:val="none" w:sz="0" w:space="0" w:color="auto"/>
            <w:left w:val="none" w:sz="0" w:space="0" w:color="auto"/>
            <w:bottom w:val="none" w:sz="0" w:space="0" w:color="auto"/>
            <w:right w:val="none" w:sz="0" w:space="0" w:color="auto"/>
          </w:divBdr>
        </w:div>
        <w:div w:id="1400320715">
          <w:marLeft w:val="446"/>
          <w:marRight w:val="0"/>
          <w:marTop w:val="0"/>
          <w:marBottom w:val="120"/>
          <w:divBdr>
            <w:top w:val="none" w:sz="0" w:space="0" w:color="auto"/>
            <w:left w:val="none" w:sz="0" w:space="0" w:color="auto"/>
            <w:bottom w:val="none" w:sz="0" w:space="0" w:color="auto"/>
            <w:right w:val="none" w:sz="0" w:space="0" w:color="auto"/>
          </w:divBdr>
        </w:div>
        <w:div w:id="1682900593">
          <w:marLeft w:val="446"/>
          <w:marRight w:val="0"/>
          <w:marTop w:val="0"/>
          <w:marBottom w:val="120"/>
          <w:divBdr>
            <w:top w:val="none" w:sz="0" w:space="0" w:color="auto"/>
            <w:left w:val="none" w:sz="0" w:space="0" w:color="auto"/>
            <w:bottom w:val="none" w:sz="0" w:space="0" w:color="auto"/>
            <w:right w:val="none" w:sz="0" w:space="0" w:color="auto"/>
          </w:divBdr>
        </w:div>
        <w:div w:id="1779137946">
          <w:marLeft w:val="446"/>
          <w:marRight w:val="0"/>
          <w:marTop w:val="0"/>
          <w:marBottom w:val="120"/>
          <w:divBdr>
            <w:top w:val="none" w:sz="0" w:space="0" w:color="auto"/>
            <w:left w:val="none" w:sz="0" w:space="0" w:color="auto"/>
            <w:bottom w:val="none" w:sz="0" w:space="0" w:color="auto"/>
            <w:right w:val="none" w:sz="0" w:space="0" w:color="auto"/>
          </w:divBdr>
        </w:div>
        <w:div w:id="1797480535">
          <w:marLeft w:val="446"/>
          <w:marRight w:val="0"/>
          <w:marTop w:val="0"/>
          <w:marBottom w:val="120"/>
          <w:divBdr>
            <w:top w:val="none" w:sz="0" w:space="0" w:color="auto"/>
            <w:left w:val="none" w:sz="0" w:space="0" w:color="auto"/>
            <w:bottom w:val="none" w:sz="0" w:space="0" w:color="auto"/>
            <w:right w:val="none" w:sz="0" w:space="0" w:color="auto"/>
          </w:divBdr>
        </w:div>
        <w:div w:id="1935481154">
          <w:marLeft w:val="446"/>
          <w:marRight w:val="0"/>
          <w:marTop w:val="0"/>
          <w:marBottom w:val="120"/>
          <w:divBdr>
            <w:top w:val="none" w:sz="0" w:space="0" w:color="auto"/>
            <w:left w:val="none" w:sz="0" w:space="0" w:color="auto"/>
            <w:bottom w:val="none" w:sz="0" w:space="0" w:color="auto"/>
            <w:right w:val="none" w:sz="0" w:space="0" w:color="auto"/>
          </w:divBdr>
        </w:div>
      </w:divsChild>
    </w:div>
    <w:div w:id="682246506">
      <w:bodyDiv w:val="1"/>
      <w:marLeft w:val="0"/>
      <w:marRight w:val="0"/>
      <w:marTop w:val="0"/>
      <w:marBottom w:val="0"/>
      <w:divBdr>
        <w:top w:val="none" w:sz="0" w:space="0" w:color="auto"/>
        <w:left w:val="none" w:sz="0" w:space="0" w:color="auto"/>
        <w:bottom w:val="none" w:sz="0" w:space="0" w:color="auto"/>
        <w:right w:val="none" w:sz="0" w:space="0" w:color="auto"/>
      </w:divBdr>
    </w:div>
    <w:div w:id="757022925">
      <w:bodyDiv w:val="1"/>
      <w:marLeft w:val="0"/>
      <w:marRight w:val="0"/>
      <w:marTop w:val="0"/>
      <w:marBottom w:val="0"/>
      <w:divBdr>
        <w:top w:val="none" w:sz="0" w:space="0" w:color="auto"/>
        <w:left w:val="none" w:sz="0" w:space="0" w:color="auto"/>
        <w:bottom w:val="none" w:sz="0" w:space="0" w:color="auto"/>
        <w:right w:val="none" w:sz="0" w:space="0" w:color="auto"/>
      </w:divBdr>
      <w:divsChild>
        <w:div w:id="1777209009">
          <w:marLeft w:val="446"/>
          <w:marRight w:val="0"/>
          <w:marTop w:val="0"/>
          <w:marBottom w:val="120"/>
          <w:divBdr>
            <w:top w:val="none" w:sz="0" w:space="0" w:color="auto"/>
            <w:left w:val="none" w:sz="0" w:space="0" w:color="auto"/>
            <w:bottom w:val="none" w:sz="0" w:space="0" w:color="auto"/>
            <w:right w:val="none" w:sz="0" w:space="0" w:color="auto"/>
          </w:divBdr>
        </w:div>
        <w:div w:id="2122334383">
          <w:marLeft w:val="446"/>
          <w:marRight w:val="0"/>
          <w:marTop w:val="0"/>
          <w:marBottom w:val="120"/>
          <w:divBdr>
            <w:top w:val="none" w:sz="0" w:space="0" w:color="auto"/>
            <w:left w:val="none" w:sz="0" w:space="0" w:color="auto"/>
            <w:bottom w:val="none" w:sz="0" w:space="0" w:color="auto"/>
            <w:right w:val="none" w:sz="0" w:space="0" w:color="auto"/>
          </w:divBdr>
        </w:div>
      </w:divsChild>
    </w:div>
    <w:div w:id="847253833">
      <w:bodyDiv w:val="1"/>
      <w:marLeft w:val="0"/>
      <w:marRight w:val="0"/>
      <w:marTop w:val="0"/>
      <w:marBottom w:val="0"/>
      <w:divBdr>
        <w:top w:val="none" w:sz="0" w:space="0" w:color="auto"/>
        <w:left w:val="none" w:sz="0" w:space="0" w:color="auto"/>
        <w:bottom w:val="none" w:sz="0" w:space="0" w:color="auto"/>
        <w:right w:val="none" w:sz="0" w:space="0" w:color="auto"/>
      </w:divBdr>
      <w:divsChild>
        <w:div w:id="27416895">
          <w:marLeft w:val="360"/>
          <w:marRight w:val="0"/>
          <w:marTop w:val="120"/>
          <w:marBottom w:val="0"/>
          <w:divBdr>
            <w:top w:val="none" w:sz="0" w:space="0" w:color="auto"/>
            <w:left w:val="none" w:sz="0" w:space="0" w:color="auto"/>
            <w:bottom w:val="none" w:sz="0" w:space="0" w:color="auto"/>
            <w:right w:val="none" w:sz="0" w:space="0" w:color="auto"/>
          </w:divBdr>
        </w:div>
        <w:div w:id="79565797">
          <w:marLeft w:val="360"/>
          <w:marRight w:val="0"/>
          <w:marTop w:val="120"/>
          <w:marBottom w:val="0"/>
          <w:divBdr>
            <w:top w:val="none" w:sz="0" w:space="0" w:color="auto"/>
            <w:left w:val="none" w:sz="0" w:space="0" w:color="auto"/>
            <w:bottom w:val="none" w:sz="0" w:space="0" w:color="auto"/>
            <w:right w:val="none" w:sz="0" w:space="0" w:color="auto"/>
          </w:divBdr>
        </w:div>
        <w:div w:id="1012874589">
          <w:marLeft w:val="360"/>
          <w:marRight w:val="0"/>
          <w:marTop w:val="120"/>
          <w:marBottom w:val="0"/>
          <w:divBdr>
            <w:top w:val="none" w:sz="0" w:space="0" w:color="auto"/>
            <w:left w:val="none" w:sz="0" w:space="0" w:color="auto"/>
            <w:bottom w:val="none" w:sz="0" w:space="0" w:color="auto"/>
            <w:right w:val="none" w:sz="0" w:space="0" w:color="auto"/>
          </w:divBdr>
        </w:div>
        <w:div w:id="1816987651">
          <w:marLeft w:val="360"/>
          <w:marRight w:val="0"/>
          <w:marTop w:val="120"/>
          <w:marBottom w:val="0"/>
          <w:divBdr>
            <w:top w:val="none" w:sz="0" w:space="0" w:color="auto"/>
            <w:left w:val="none" w:sz="0" w:space="0" w:color="auto"/>
            <w:bottom w:val="none" w:sz="0" w:space="0" w:color="auto"/>
            <w:right w:val="none" w:sz="0" w:space="0" w:color="auto"/>
          </w:divBdr>
        </w:div>
        <w:div w:id="2038921526">
          <w:marLeft w:val="360"/>
          <w:marRight w:val="0"/>
          <w:marTop w:val="120"/>
          <w:marBottom w:val="0"/>
          <w:divBdr>
            <w:top w:val="none" w:sz="0" w:space="0" w:color="auto"/>
            <w:left w:val="none" w:sz="0" w:space="0" w:color="auto"/>
            <w:bottom w:val="none" w:sz="0" w:space="0" w:color="auto"/>
            <w:right w:val="none" w:sz="0" w:space="0" w:color="auto"/>
          </w:divBdr>
        </w:div>
      </w:divsChild>
    </w:div>
    <w:div w:id="961691793">
      <w:bodyDiv w:val="1"/>
      <w:marLeft w:val="0"/>
      <w:marRight w:val="0"/>
      <w:marTop w:val="0"/>
      <w:marBottom w:val="0"/>
      <w:divBdr>
        <w:top w:val="none" w:sz="0" w:space="0" w:color="auto"/>
        <w:left w:val="none" w:sz="0" w:space="0" w:color="auto"/>
        <w:bottom w:val="none" w:sz="0" w:space="0" w:color="auto"/>
        <w:right w:val="none" w:sz="0" w:space="0" w:color="auto"/>
      </w:divBdr>
    </w:div>
    <w:div w:id="968128720">
      <w:bodyDiv w:val="1"/>
      <w:marLeft w:val="0"/>
      <w:marRight w:val="0"/>
      <w:marTop w:val="0"/>
      <w:marBottom w:val="0"/>
      <w:divBdr>
        <w:top w:val="none" w:sz="0" w:space="0" w:color="auto"/>
        <w:left w:val="none" w:sz="0" w:space="0" w:color="auto"/>
        <w:bottom w:val="none" w:sz="0" w:space="0" w:color="auto"/>
        <w:right w:val="none" w:sz="0" w:space="0" w:color="auto"/>
      </w:divBdr>
      <w:divsChild>
        <w:div w:id="958992753">
          <w:marLeft w:val="446"/>
          <w:marRight w:val="0"/>
          <w:marTop w:val="0"/>
          <w:marBottom w:val="0"/>
          <w:divBdr>
            <w:top w:val="none" w:sz="0" w:space="0" w:color="auto"/>
            <w:left w:val="none" w:sz="0" w:space="0" w:color="auto"/>
            <w:bottom w:val="none" w:sz="0" w:space="0" w:color="auto"/>
            <w:right w:val="none" w:sz="0" w:space="0" w:color="auto"/>
          </w:divBdr>
        </w:div>
        <w:div w:id="970331956">
          <w:marLeft w:val="446"/>
          <w:marRight w:val="0"/>
          <w:marTop w:val="0"/>
          <w:marBottom w:val="0"/>
          <w:divBdr>
            <w:top w:val="none" w:sz="0" w:space="0" w:color="auto"/>
            <w:left w:val="none" w:sz="0" w:space="0" w:color="auto"/>
            <w:bottom w:val="none" w:sz="0" w:space="0" w:color="auto"/>
            <w:right w:val="none" w:sz="0" w:space="0" w:color="auto"/>
          </w:divBdr>
        </w:div>
        <w:div w:id="1111705462">
          <w:marLeft w:val="446"/>
          <w:marRight w:val="0"/>
          <w:marTop w:val="0"/>
          <w:marBottom w:val="0"/>
          <w:divBdr>
            <w:top w:val="none" w:sz="0" w:space="0" w:color="auto"/>
            <w:left w:val="none" w:sz="0" w:space="0" w:color="auto"/>
            <w:bottom w:val="none" w:sz="0" w:space="0" w:color="auto"/>
            <w:right w:val="none" w:sz="0" w:space="0" w:color="auto"/>
          </w:divBdr>
        </w:div>
        <w:div w:id="1127549780">
          <w:marLeft w:val="446"/>
          <w:marRight w:val="0"/>
          <w:marTop w:val="0"/>
          <w:marBottom w:val="0"/>
          <w:divBdr>
            <w:top w:val="none" w:sz="0" w:space="0" w:color="auto"/>
            <w:left w:val="none" w:sz="0" w:space="0" w:color="auto"/>
            <w:bottom w:val="none" w:sz="0" w:space="0" w:color="auto"/>
            <w:right w:val="none" w:sz="0" w:space="0" w:color="auto"/>
          </w:divBdr>
        </w:div>
        <w:div w:id="1140345021">
          <w:marLeft w:val="446"/>
          <w:marRight w:val="0"/>
          <w:marTop w:val="0"/>
          <w:marBottom w:val="0"/>
          <w:divBdr>
            <w:top w:val="none" w:sz="0" w:space="0" w:color="auto"/>
            <w:left w:val="none" w:sz="0" w:space="0" w:color="auto"/>
            <w:bottom w:val="none" w:sz="0" w:space="0" w:color="auto"/>
            <w:right w:val="none" w:sz="0" w:space="0" w:color="auto"/>
          </w:divBdr>
        </w:div>
        <w:div w:id="1564411939">
          <w:marLeft w:val="446"/>
          <w:marRight w:val="0"/>
          <w:marTop w:val="0"/>
          <w:marBottom w:val="0"/>
          <w:divBdr>
            <w:top w:val="none" w:sz="0" w:space="0" w:color="auto"/>
            <w:left w:val="none" w:sz="0" w:space="0" w:color="auto"/>
            <w:bottom w:val="none" w:sz="0" w:space="0" w:color="auto"/>
            <w:right w:val="none" w:sz="0" w:space="0" w:color="auto"/>
          </w:divBdr>
        </w:div>
        <w:div w:id="1894193587">
          <w:marLeft w:val="446"/>
          <w:marRight w:val="0"/>
          <w:marTop w:val="0"/>
          <w:marBottom w:val="0"/>
          <w:divBdr>
            <w:top w:val="none" w:sz="0" w:space="0" w:color="auto"/>
            <w:left w:val="none" w:sz="0" w:space="0" w:color="auto"/>
            <w:bottom w:val="none" w:sz="0" w:space="0" w:color="auto"/>
            <w:right w:val="none" w:sz="0" w:space="0" w:color="auto"/>
          </w:divBdr>
        </w:div>
        <w:div w:id="2131170811">
          <w:marLeft w:val="446"/>
          <w:marRight w:val="0"/>
          <w:marTop w:val="0"/>
          <w:marBottom w:val="0"/>
          <w:divBdr>
            <w:top w:val="none" w:sz="0" w:space="0" w:color="auto"/>
            <w:left w:val="none" w:sz="0" w:space="0" w:color="auto"/>
            <w:bottom w:val="none" w:sz="0" w:space="0" w:color="auto"/>
            <w:right w:val="none" w:sz="0" w:space="0" w:color="auto"/>
          </w:divBdr>
        </w:div>
      </w:divsChild>
    </w:div>
    <w:div w:id="1024669339">
      <w:bodyDiv w:val="1"/>
      <w:marLeft w:val="0"/>
      <w:marRight w:val="0"/>
      <w:marTop w:val="0"/>
      <w:marBottom w:val="0"/>
      <w:divBdr>
        <w:top w:val="none" w:sz="0" w:space="0" w:color="auto"/>
        <w:left w:val="none" w:sz="0" w:space="0" w:color="auto"/>
        <w:bottom w:val="none" w:sz="0" w:space="0" w:color="auto"/>
        <w:right w:val="none" w:sz="0" w:space="0" w:color="auto"/>
      </w:divBdr>
    </w:div>
    <w:div w:id="1054546850">
      <w:bodyDiv w:val="1"/>
      <w:marLeft w:val="0"/>
      <w:marRight w:val="0"/>
      <w:marTop w:val="0"/>
      <w:marBottom w:val="0"/>
      <w:divBdr>
        <w:top w:val="none" w:sz="0" w:space="0" w:color="auto"/>
        <w:left w:val="none" w:sz="0" w:space="0" w:color="auto"/>
        <w:bottom w:val="none" w:sz="0" w:space="0" w:color="auto"/>
        <w:right w:val="none" w:sz="0" w:space="0" w:color="auto"/>
      </w:divBdr>
    </w:div>
    <w:div w:id="1112549520">
      <w:bodyDiv w:val="1"/>
      <w:marLeft w:val="0"/>
      <w:marRight w:val="0"/>
      <w:marTop w:val="0"/>
      <w:marBottom w:val="0"/>
      <w:divBdr>
        <w:top w:val="none" w:sz="0" w:space="0" w:color="auto"/>
        <w:left w:val="none" w:sz="0" w:space="0" w:color="auto"/>
        <w:bottom w:val="none" w:sz="0" w:space="0" w:color="auto"/>
        <w:right w:val="none" w:sz="0" w:space="0" w:color="auto"/>
      </w:divBdr>
    </w:div>
    <w:div w:id="1148476655">
      <w:bodyDiv w:val="1"/>
      <w:marLeft w:val="0"/>
      <w:marRight w:val="0"/>
      <w:marTop w:val="0"/>
      <w:marBottom w:val="0"/>
      <w:divBdr>
        <w:top w:val="none" w:sz="0" w:space="0" w:color="auto"/>
        <w:left w:val="none" w:sz="0" w:space="0" w:color="auto"/>
        <w:bottom w:val="none" w:sz="0" w:space="0" w:color="auto"/>
        <w:right w:val="none" w:sz="0" w:space="0" w:color="auto"/>
      </w:divBdr>
      <w:divsChild>
        <w:div w:id="24449070">
          <w:marLeft w:val="446"/>
          <w:marRight w:val="0"/>
          <w:marTop w:val="0"/>
          <w:marBottom w:val="0"/>
          <w:divBdr>
            <w:top w:val="none" w:sz="0" w:space="0" w:color="auto"/>
            <w:left w:val="none" w:sz="0" w:space="0" w:color="auto"/>
            <w:bottom w:val="none" w:sz="0" w:space="0" w:color="auto"/>
            <w:right w:val="none" w:sz="0" w:space="0" w:color="auto"/>
          </w:divBdr>
        </w:div>
        <w:div w:id="355934879">
          <w:marLeft w:val="446"/>
          <w:marRight w:val="0"/>
          <w:marTop w:val="0"/>
          <w:marBottom w:val="0"/>
          <w:divBdr>
            <w:top w:val="none" w:sz="0" w:space="0" w:color="auto"/>
            <w:left w:val="none" w:sz="0" w:space="0" w:color="auto"/>
            <w:bottom w:val="none" w:sz="0" w:space="0" w:color="auto"/>
            <w:right w:val="none" w:sz="0" w:space="0" w:color="auto"/>
          </w:divBdr>
        </w:div>
        <w:div w:id="377895722">
          <w:marLeft w:val="446"/>
          <w:marRight w:val="0"/>
          <w:marTop w:val="0"/>
          <w:marBottom w:val="0"/>
          <w:divBdr>
            <w:top w:val="none" w:sz="0" w:space="0" w:color="auto"/>
            <w:left w:val="none" w:sz="0" w:space="0" w:color="auto"/>
            <w:bottom w:val="none" w:sz="0" w:space="0" w:color="auto"/>
            <w:right w:val="none" w:sz="0" w:space="0" w:color="auto"/>
          </w:divBdr>
        </w:div>
        <w:div w:id="407389933">
          <w:marLeft w:val="446"/>
          <w:marRight w:val="0"/>
          <w:marTop w:val="0"/>
          <w:marBottom w:val="0"/>
          <w:divBdr>
            <w:top w:val="none" w:sz="0" w:space="0" w:color="auto"/>
            <w:left w:val="none" w:sz="0" w:space="0" w:color="auto"/>
            <w:bottom w:val="none" w:sz="0" w:space="0" w:color="auto"/>
            <w:right w:val="none" w:sz="0" w:space="0" w:color="auto"/>
          </w:divBdr>
        </w:div>
        <w:div w:id="1902399027">
          <w:marLeft w:val="446"/>
          <w:marRight w:val="0"/>
          <w:marTop w:val="0"/>
          <w:marBottom w:val="0"/>
          <w:divBdr>
            <w:top w:val="none" w:sz="0" w:space="0" w:color="auto"/>
            <w:left w:val="none" w:sz="0" w:space="0" w:color="auto"/>
            <w:bottom w:val="none" w:sz="0" w:space="0" w:color="auto"/>
            <w:right w:val="none" w:sz="0" w:space="0" w:color="auto"/>
          </w:divBdr>
        </w:div>
      </w:divsChild>
    </w:div>
    <w:div w:id="1153064234">
      <w:bodyDiv w:val="1"/>
      <w:marLeft w:val="0"/>
      <w:marRight w:val="0"/>
      <w:marTop w:val="0"/>
      <w:marBottom w:val="0"/>
      <w:divBdr>
        <w:top w:val="none" w:sz="0" w:space="0" w:color="auto"/>
        <w:left w:val="none" w:sz="0" w:space="0" w:color="auto"/>
        <w:bottom w:val="none" w:sz="0" w:space="0" w:color="auto"/>
        <w:right w:val="none" w:sz="0" w:space="0" w:color="auto"/>
      </w:divBdr>
    </w:div>
    <w:div w:id="1172136105">
      <w:bodyDiv w:val="1"/>
      <w:marLeft w:val="0"/>
      <w:marRight w:val="0"/>
      <w:marTop w:val="0"/>
      <w:marBottom w:val="0"/>
      <w:divBdr>
        <w:top w:val="none" w:sz="0" w:space="0" w:color="auto"/>
        <w:left w:val="none" w:sz="0" w:space="0" w:color="auto"/>
        <w:bottom w:val="none" w:sz="0" w:space="0" w:color="auto"/>
        <w:right w:val="none" w:sz="0" w:space="0" w:color="auto"/>
      </w:divBdr>
    </w:div>
    <w:div w:id="1192494957">
      <w:bodyDiv w:val="1"/>
      <w:marLeft w:val="0"/>
      <w:marRight w:val="0"/>
      <w:marTop w:val="0"/>
      <w:marBottom w:val="0"/>
      <w:divBdr>
        <w:top w:val="none" w:sz="0" w:space="0" w:color="auto"/>
        <w:left w:val="none" w:sz="0" w:space="0" w:color="auto"/>
        <w:bottom w:val="none" w:sz="0" w:space="0" w:color="auto"/>
        <w:right w:val="none" w:sz="0" w:space="0" w:color="auto"/>
      </w:divBdr>
      <w:divsChild>
        <w:div w:id="858392227">
          <w:marLeft w:val="360"/>
          <w:marRight w:val="0"/>
          <w:marTop w:val="120"/>
          <w:marBottom w:val="0"/>
          <w:divBdr>
            <w:top w:val="none" w:sz="0" w:space="0" w:color="auto"/>
            <w:left w:val="none" w:sz="0" w:space="0" w:color="auto"/>
            <w:bottom w:val="none" w:sz="0" w:space="0" w:color="auto"/>
            <w:right w:val="none" w:sz="0" w:space="0" w:color="auto"/>
          </w:divBdr>
        </w:div>
        <w:div w:id="1233003091">
          <w:marLeft w:val="706"/>
          <w:marRight w:val="0"/>
          <w:marTop w:val="120"/>
          <w:marBottom w:val="0"/>
          <w:divBdr>
            <w:top w:val="none" w:sz="0" w:space="0" w:color="auto"/>
            <w:left w:val="none" w:sz="0" w:space="0" w:color="auto"/>
            <w:bottom w:val="none" w:sz="0" w:space="0" w:color="auto"/>
            <w:right w:val="none" w:sz="0" w:space="0" w:color="auto"/>
          </w:divBdr>
        </w:div>
        <w:div w:id="1478381116">
          <w:marLeft w:val="360"/>
          <w:marRight w:val="0"/>
          <w:marTop w:val="120"/>
          <w:marBottom w:val="0"/>
          <w:divBdr>
            <w:top w:val="none" w:sz="0" w:space="0" w:color="auto"/>
            <w:left w:val="none" w:sz="0" w:space="0" w:color="auto"/>
            <w:bottom w:val="none" w:sz="0" w:space="0" w:color="auto"/>
            <w:right w:val="none" w:sz="0" w:space="0" w:color="auto"/>
          </w:divBdr>
        </w:div>
        <w:div w:id="1584485900">
          <w:marLeft w:val="706"/>
          <w:marRight w:val="0"/>
          <w:marTop w:val="120"/>
          <w:marBottom w:val="0"/>
          <w:divBdr>
            <w:top w:val="none" w:sz="0" w:space="0" w:color="auto"/>
            <w:left w:val="none" w:sz="0" w:space="0" w:color="auto"/>
            <w:bottom w:val="none" w:sz="0" w:space="0" w:color="auto"/>
            <w:right w:val="none" w:sz="0" w:space="0" w:color="auto"/>
          </w:divBdr>
        </w:div>
        <w:div w:id="1736512856">
          <w:marLeft w:val="706"/>
          <w:marRight w:val="0"/>
          <w:marTop w:val="120"/>
          <w:marBottom w:val="0"/>
          <w:divBdr>
            <w:top w:val="none" w:sz="0" w:space="0" w:color="auto"/>
            <w:left w:val="none" w:sz="0" w:space="0" w:color="auto"/>
            <w:bottom w:val="none" w:sz="0" w:space="0" w:color="auto"/>
            <w:right w:val="none" w:sz="0" w:space="0" w:color="auto"/>
          </w:divBdr>
        </w:div>
        <w:div w:id="1756583640">
          <w:marLeft w:val="706"/>
          <w:marRight w:val="0"/>
          <w:marTop w:val="120"/>
          <w:marBottom w:val="0"/>
          <w:divBdr>
            <w:top w:val="none" w:sz="0" w:space="0" w:color="auto"/>
            <w:left w:val="none" w:sz="0" w:space="0" w:color="auto"/>
            <w:bottom w:val="none" w:sz="0" w:space="0" w:color="auto"/>
            <w:right w:val="none" w:sz="0" w:space="0" w:color="auto"/>
          </w:divBdr>
        </w:div>
      </w:divsChild>
    </w:div>
    <w:div w:id="1197158921">
      <w:bodyDiv w:val="1"/>
      <w:marLeft w:val="0"/>
      <w:marRight w:val="0"/>
      <w:marTop w:val="0"/>
      <w:marBottom w:val="0"/>
      <w:divBdr>
        <w:top w:val="none" w:sz="0" w:space="0" w:color="auto"/>
        <w:left w:val="none" w:sz="0" w:space="0" w:color="auto"/>
        <w:bottom w:val="none" w:sz="0" w:space="0" w:color="auto"/>
        <w:right w:val="none" w:sz="0" w:space="0" w:color="auto"/>
      </w:divBdr>
    </w:div>
    <w:div w:id="1226406460">
      <w:bodyDiv w:val="1"/>
      <w:marLeft w:val="0"/>
      <w:marRight w:val="0"/>
      <w:marTop w:val="0"/>
      <w:marBottom w:val="0"/>
      <w:divBdr>
        <w:top w:val="none" w:sz="0" w:space="0" w:color="auto"/>
        <w:left w:val="none" w:sz="0" w:space="0" w:color="auto"/>
        <w:bottom w:val="none" w:sz="0" w:space="0" w:color="auto"/>
        <w:right w:val="none" w:sz="0" w:space="0" w:color="auto"/>
      </w:divBdr>
    </w:div>
    <w:div w:id="1305820359">
      <w:bodyDiv w:val="1"/>
      <w:marLeft w:val="0"/>
      <w:marRight w:val="0"/>
      <w:marTop w:val="0"/>
      <w:marBottom w:val="0"/>
      <w:divBdr>
        <w:top w:val="none" w:sz="0" w:space="0" w:color="auto"/>
        <w:left w:val="none" w:sz="0" w:space="0" w:color="auto"/>
        <w:bottom w:val="none" w:sz="0" w:space="0" w:color="auto"/>
        <w:right w:val="none" w:sz="0" w:space="0" w:color="auto"/>
      </w:divBdr>
      <w:divsChild>
        <w:div w:id="63576031">
          <w:marLeft w:val="187"/>
          <w:marRight w:val="0"/>
          <w:marTop w:val="67"/>
          <w:marBottom w:val="0"/>
          <w:divBdr>
            <w:top w:val="none" w:sz="0" w:space="0" w:color="auto"/>
            <w:left w:val="none" w:sz="0" w:space="0" w:color="auto"/>
            <w:bottom w:val="none" w:sz="0" w:space="0" w:color="auto"/>
            <w:right w:val="none" w:sz="0" w:space="0" w:color="auto"/>
          </w:divBdr>
        </w:div>
        <w:div w:id="270741930">
          <w:marLeft w:val="187"/>
          <w:marRight w:val="0"/>
          <w:marTop w:val="67"/>
          <w:marBottom w:val="0"/>
          <w:divBdr>
            <w:top w:val="none" w:sz="0" w:space="0" w:color="auto"/>
            <w:left w:val="none" w:sz="0" w:space="0" w:color="auto"/>
            <w:bottom w:val="none" w:sz="0" w:space="0" w:color="auto"/>
            <w:right w:val="none" w:sz="0" w:space="0" w:color="auto"/>
          </w:divBdr>
        </w:div>
        <w:div w:id="355809289">
          <w:marLeft w:val="187"/>
          <w:marRight w:val="0"/>
          <w:marTop w:val="67"/>
          <w:marBottom w:val="0"/>
          <w:divBdr>
            <w:top w:val="none" w:sz="0" w:space="0" w:color="auto"/>
            <w:left w:val="none" w:sz="0" w:space="0" w:color="auto"/>
            <w:bottom w:val="none" w:sz="0" w:space="0" w:color="auto"/>
            <w:right w:val="none" w:sz="0" w:space="0" w:color="auto"/>
          </w:divBdr>
        </w:div>
        <w:div w:id="489954294">
          <w:marLeft w:val="187"/>
          <w:marRight w:val="0"/>
          <w:marTop w:val="67"/>
          <w:marBottom w:val="0"/>
          <w:divBdr>
            <w:top w:val="none" w:sz="0" w:space="0" w:color="auto"/>
            <w:left w:val="none" w:sz="0" w:space="0" w:color="auto"/>
            <w:bottom w:val="none" w:sz="0" w:space="0" w:color="auto"/>
            <w:right w:val="none" w:sz="0" w:space="0" w:color="auto"/>
          </w:divBdr>
        </w:div>
        <w:div w:id="596867696">
          <w:marLeft w:val="187"/>
          <w:marRight w:val="0"/>
          <w:marTop w:val="67"/>
          <w:marBottom w:val="0"/>
          <w:divBdr>
            <w:top w:val="none" w:sz="0" w:space="0" w:color="auto"/>
            <w:left w:val="none" w:sz="0" w:space="0" w:color="auto"/>
            <w:bottom w:val="none" w:sz="0" w:space="0" w:color="auto"/>
            <w:right w:val="none" w:sz="0" w:space="0" w:color="auto"/>
          </w:divBdr>
        </w:div>
        <w:div w:id="619339691">
          <w:marLeft w:val="187"/>
          <w:marRight w:val="0"/>
          <w:marTop w:val="67"/>
          <w:marBottom w:val="0"/>
          <w:divBdr>
            <w:top w:val="none" w:sz="0" w:space="0" w:color="auto"/>
            <w:left w:val="none" w:sz="0" w:space="0" w:color="auto"/>
            <w:bottom w:val="none" w:sz="0" w:space="0" w:color="auto"/>
            <w:right w:val="none" w:sz="0" w:space="0" w:color="auto"/>
          </w:divBdr>
        </w:div>
        <w:div w:id="783040709">
          <w:marLeft w:val="187"/>
          <w:marRight w:val="0"/>
          <w:marTop w:val="67"/>
          <w:marBottom w:val="0"/>
          <w:divBdr>
            <w:top w:val="none" w:sz="0" w:space="0" w:color="auto"/>
            <w:left w:val="none" w:sz="0" w:space="0" w:color="auto"/>
            <w:bottom w:val="none" w:sz="0" w:space="0" w:color="auto"/>
            <w:right w:val="none" w:sz="0" w:space="0" w:color="auto"/>
          </w:divBdr>
        </w:div>
        <w:div w:id="826634588">
          <w:marLeft w:val="187"/>
          <w:marRight w:val="0"/>
          <w:marTop w:val="67"/>
          <w:marBottom w:val="0"/>
          <w:divBdr>
            <w:top w:val="none" w:sz="0" w:space="0" w:color="auto"/>
            <w:left w:val="none" w:sz="0" w:space="0" w:color="auto"/>
            <w:bottom w:val="none" w:sz="0" w:space="0" w:color="auto"/>
            <w:right w:val="none" w:sz="0" w:space="0" w:color="auto"/>
          </w:divBdr>
        </w:div>
        <w:div w:id="2058620838">
          <w:marLeft w:val="187"/>
          <w:marRight w:val="0"/>
          <w:marTop w:val="67"/>
          <w:marBottom w:val="0"/>
          <w:divBdr>
            <w:top w:val="none" w:sz="0" w:space="0" w:color="auto"/>
            <w:left w:val="none" w:sz="0" w:space="0" w:color="auto"/>
            <w:bottom w:val="none" w:sz="0" w:space="0" w:color="auto"/>
            <w:right w:val="none" w:sz="0" w:space="0" w:color="auto"/>
          </w:divBdr>
        </w:div>
      </w:divsChild>
    </w:div>
    <w:div w:id="1568302144">
      <w:bodyDiv w:val="1"/>
      <w:marLeft w:val="0"/>
      <w:marRight w:val="0"/>
      <w:marTop w:val="0"/>
      <w:marBottom w:val="0"/>
      <w:divBdr>
        <w:top w:val="none" w:sz="0" w:space="0" w:color="auto"/>
        <w:left w:val="none" w:sz="0" w:space="0" w:color="auto"/>
        <w:bottom w:val="none" w:sz="0" w:space="0" w:color="auto"/>
        <w:right w:val="none" w:sz="0" w:space="0" w:color="auto"/>
      </w:divBdr>
    </w:div>
    <w:div w:id="1624966509">
      <w:bodyDiv w:val="1"/>
      <w:marLeft w:val="0"/>
      <w:marRight w:val="0"/>
      <w:marTop w:val="0"/>
      <w:marBottom w:val="0"/>
      <w:divBdr>
        <w:top w:val="none" w:sz="0" w:space="0" w:color="auto"/>
        <w:left w:val="none" w:sz="0" w:space="0" w:color="auto"/>
        <w:bottom w:val="none" w:sz="0" w:space="0" w:color="auto"/>
        <w:right w:val="none" w:sz="0" w:space="0" w:color="auto"/>
      </w:divBdr>
      <w:divsChild>
        <w:div w:id="289016506">
          <w:marLeft w:val="547"/>
          <w:marRight w:val="0"/>
          <w:marTop w:val="91"/>
          <w:marBottom w:val="0"/>
          <w:divBdr>
            <w:top w:val="none" w:sz="0" w:space="0" w:color="auto"/>
            <w:left w:val="none" w:sz="0" w:space="0" w:color="auto"/>
            <w:bottom w:val="none" w:sz="0" w:space="0" w:color="auto"/>
            <w:right w:val="none" w:sz="0" w:space="0" w:color="auto"/>
          </w:divBdr>
        </w:div>
        <w:div w:id="2097551717">
          <w:marLeft w:val="1166"/>
          <w:marRight w:val="0"/>
          <w:marTop w:val="72"/>
          <w:marBottom w:val="0"/>
          <w:divBdr>
            <w:top w:val="none" w:sz="0" w:space="0" w:color="auto"/>
            <w:left w:val="none" w:sz="0" w:space="0" w:color="auto"/>
            <w:bottom w:val="none" w:sz="0" w:space="0" w:color="auto"/>
            <w:right w:val="none" w:sz="0" w:space="0" w:color="auto"/>
          </w:divBdr>
        </w:div>
        <w:div w:id="936255628">
          <w:marLeft w:val="1166"/>
          <w:marRight w:val="0"/>
          <w:marTop w:val="72"/>
          <w:marBottom w:val="0"/>
          <w:divBdr>
            <w:top w:val="none" w:sz="0" w:space="0" w:color="auto"/>
            <w:left w:val="none" w:sz="0" w:space="0" w:color="auto"/>
            <w:bottom w:val="none" w:sz="0" w:space="0" w:color="auto"/>
            <w:right w:val="none" w:sz="0" w:space="0" w:color="auto"/>
          </w:divBdr>
        </w:div>
        <w:div w:id="196624341">
          <w:marLeft w:val="1166"/>
          <w:marRight w:val="0"/>
          <w:marTop w:val="72"/>
          <w:marBottom w:val="0"/>
          <w:divBdr>
            <w:top w:val="none" w:sz="0" w:space="0" w:color="auto"/>
            <w:left w:val="none" w:sz="0" w:space="0" w:color="auto"/>
            <w:bottom w:val="none" w:sz="0" w:space="0" w:color="auto"/>
            <w:right w:val="none" w:sz="0" w:space="0" w:color="auto"/>
          </w:divBdr>
        </w:div>
        <w:div w:id="1272664893">
          <w:marLeft w:val="1166"/>
          <w:marRight w:val="0"/>
          <w:marTop w:val="72"/>
          <w:marBottom w:val="0"/>
          <w:divBdr>
            <w:top w:val="none" w:sz="0" w:space="0" w:color="auto"/>
            <w:left w:val="none" w:sz="0" w:space="0" w:color="auto"/>
            <w:bottom w:val="none" w:sz="0" w:space="0" w:color="auto"/>
            <w:right w:val="none" w:sz="0" w:space="0" w:color="auto"/>
          </w:divBdr>
        </w:div>
        <w:div w:id="1208642026">
          <w:marLeft w:val="1166"/>
          <w:marRight w:val="0"/>
          <w:marTop w:val="72"/>
          <w:marBottom w:val="0"/>
          <w:divBdr>
            <w:top w:val="none" w:sz="0" w:space="0" w:color="auto"/>
            <w:left w:val="none" w:sz="0" w:space="0" w:color="auto"/>
            <w:bottom w:val="none" w:sz="0" w:space="0" w:color="auto"/>
            <w:right w:val="none" w:sz="0" w:space="0" w:color="auto"/>
          </w:divBdr>
        </w:div>
      </w:divsChild>
    </w:div>
    <w:div w:id="1714038692">
      <w:bodyDiv w:val="1"/>
      <w:marLeft w:val="0"/>
      <w:marRight w:val="0"/>
      <w:marTop w:val="0"/>
      <w:marBottom w:val="0"/>
      <w:divBdr>
        <w:top w:val="none" w:sz="0" w:space="0" w:color="auto"/>
        <w:left w:val="none" w:sz="0" w:space="0" w:color="auto"/>
        <w:bottom w:val="none" w:sz="0" w:space="0" w:color="auto"/>
        <w:right w:val="none" w:sz="0" w:space="0" w:color="auto"/>
      </w:divBdr>
    </w:div>
    <w:div w:id="1778521565">
      <w:bodyDiv w:val="1"/>
      <w:marLeft w:val="0"/>
      <w:marRight w:val="0"/>
      <w:marTop w:val="0"/>
      <w:marBottom w:val="0"/>
      <w:divBdr>
        <w:top w:val="none" w:sz="0" w:space="0" w:color="auto"/>
        <w:left w:val="none" w:sz="0" w:space="0" w:color="auto"/>
        <w:bottom w:val="none" w:sz="0" w:space="0" w:color="auto"/>
        <w:right w:val="none" w:sz="0" w:space="0" w:color="auto"/>
      </w:divBdr>
    </w:div>
    <w:div w:id="1801068195">
      <w:bodyDiv w:val="1"/>
      <w:marLeft w:val="0"/>
      <w:marRight w:val="0"/>
      <w:marTop w:val="0"/>
      <w:marBottom w:val="0"/>
      <w:divBdr>
        <w:top w:val="none" w:sz="0" w:space="0" w:color="auto"/>
        <w:left w:val="none" w:sz="0" w:space="0" w:color="auto"/>
        <w:bottom w:val="none" w:sz="0" w:space="0" w:color="auto"/>
        <w:right w:val="none" w:sz="0" w:space="0" w:color="auto"/>
      </w:divBdr>
    </w:div>
    <w:div w:id="1848403058">
      <w:bodyDiv w:val="1"/>
      <w:marLeft w:val="0"/>
      <w:marRight w:val="0"/>
      <w:marTop w:val="0"/>
      <w:marBottom w:val="0"/>
      <w:divBdr>
        <w:top w:val="none" w:sz="0" w:space="0" w:color="auto"/>
        <w:left w:val="none" w:sz="0" w:space="0" w:color="auto"/>
        <w:bottom w:val="none" w:sz="0" w:space="0" w:color="auto"/>
        <w:right w:val="none" w:sz="0" w:space="0" w:color="auto"/>
      </w:divBdr>
    </w:div>
    <w:div w:id="1856259969">
      <w:bodyDiv w:val="1"/>
      <w:marLeft w:val="0"/>
      <w:marRight w:val="0"/>
      <w:marTop w:val="0"/>
      <w:marBottom w:val="0"/>
      <w:divBdr>
        <w:top w:val="none" w:sz="0" w:space="0" w:color="auto"/>
        <w:left w:val="none" w:sz="0" w:space="0" w:color="auto"/>
        <w:bottom w:val="none" w:sz="0" w:space="0" w:color="auto"/>
        <w:right w:val="none" w:sz="0" w:space="0" w:color="auto"/>
      </w:divBdr>
    </w:div>
    <w:div w:id="1885943088">
      <w:bodyDiv w:val="1"/>
      <w:marLeft w:val="0"/>
      <w:marRight w:val="0"/>
      <w:marTop w:val="0"/>
      <w:marBottom w:val="0"/>
      <w:divBdr>
        <w:top w:val="none" w:sz="0" w:space="0" w:color="auto"/>
        <w:left w:val="none" w:sz="0" w:space="0" w:color="auto"/>
        <w:bottom w:val="none" w:sz="0" w:space="0" w:color="auto"/>
        <w:right w:val="none" w:sz="0" w:space="0" w:color="auto"/>
      </w:divBdr>
    </w:div>
    <w:div w:id="2026591763">
      <w:bodyDiv w:val="1"/>
      <w:marLeft w:val="0"/>
      <w:marRight w:val="0"/>
      <w:marTop w:val="0"/>
      <w:marBottom w:val="0"/>
      <w:divBdr>
        <w:top w:val="none" w:sz="0" w:space="0" w:color="auto"/>
        <w:left w:val="none" w:sz="0" w:space="0" w:color="auto"/>
        <w:bottom w:val="none" w:sz="0" w:space="0" w:color="auto"/>
        <w:right w:val="none" w:sz="0" w:space="0" w:color="auto"/>
      </w:divBdr>
    </w:div>
    <w:div w:id="2029139172">
      <w:bodyDiv w:val="1"/>
      <w:marLeft w:val="0"/>
      <w:marRight w:val="0"/>
      <w:marTop w:val="0"/>
      <w:marBottom w:val="0"/>
      <w:divBdr>
        <w:top w:val="none" w:sz="0" w:space="0" w:color="auto"/>
        <w:left w:val="none" w:sz="0" w:space="0" w:color="auto"/>
        <w:bottom w:val="none" w:sz="0" w:space="0" w:color="auto"/>
        <w:right w:val="none" w:sz="0" w:space="0" w:color="auto"/>
      </w:divBdr>
    </w:div>
    <w:div w:id="2060855124">
      <w:bodyDiv w:val="1"/>
      <w:marLeft w:val="0"/>
      <w:marRight w:val="0"/>
      <w:marTop w:val="0"/>
      <w:marBottom w:val="0"/>
      <w:divBdr>
        <w:top w:val="none" w:sz="0" w:space="0" w:color="auto"/>
        <w:left w:val="none" w:sz="0" w:space="0" w:color="auto"/>
        <w:bottom w:val="none" w:sz="0" w:space="0" w:color="auto"/>
        <w:right w:val="none" w:sz="0" w:space="0" w:color="auto"/>
      </w:divBdr>
    </w:div>
    <w:div w:id="2064523203">
      <w:bodyDiv w:val="1"/>
      <w:marLeft w:val="0"/>
      <w:marRight w:val="0"/>
      <w:marTop w:val="0"/>
      <w:marBottom w:val="0"/>
      <w:divBdr>
        <w:top w:val="none" w:sz="0" w:space="0" w:color="auto"/>
        <w:left w:val="none" w:sz="0" w:space="0" w:color="auto"/>
        <w:bottom w:val="none" w:sz="0" w:space="0" w:color="auto"/>
        <w:right w:val="none" w:sz="0" w:space="0" w:color="auto"/>
      </w:divBdr>
      <w:divsChild>
        <w:div w:id="306932382">
          <w:marLeft w:val="547"/>
          <w:marRight w:val="0"/>
          <w:marTop w:val="91"/>
          <w:marBottom w:val="0"/>
          <w:divBdr>
            <w:top w:val="none" w:sz="0" w:space="0" w:color="auto"/>
            <w:left w:val="none" w:sz="0" w:space="0" w:color="auto"/>
            <w:bottom w:val="none" w:sz="0" w:space="0" w:color="auto"/>
            <w:right w:val="none" w:sz="0" w:space="0" w:color="auto"/>
          </w:divBdr>
        </w:div>
        <w:div w:id="1244531461">
          <w:marLeft w:val="1166"/>
          <w:marRight w:val="0"/>
          <w:marTop w:val="72"/>
          <w:marBottom w:val="0"/>
          <w:divBdr>
            <w:top w:val="none" w:sz="0" w:space="0" w:color="auto"/>
            <w:left w:val="none" w:sz="0" w:space="0" w:color="auto"/>
            <w:bottom w:val="none" w:sz="0" w:space="0" w:color="auto"/>
            <w:right w:val="none" w:sz="0" w:space="0" w:color="auto"/>
          </w:divBdr>
        </w:div>
        <w:div w:id="2131971244">
          <w:marLeft w:val="1166"/>
          <w:marRight w:val="0"/>
          <w:marTop w:val="72"/>
          <w:marBottom w:val="0"/>
          <w:divBdr>
            <w:top w:val="none" w:sz="0" w:space="0" w:color="auto"/>
            <w:left w:val="none" w:sz="0" w:space="0" w:color="auto"/>
            <w:bottom w:val="none" w:sz="0" w:space="0" w:color="auto"/>
            <w:right w:val="none" w:sz="0" w:space="0" w:color="auto"/>
          </w:divBdr>
        </w:div>
        <w:div w:id="203908643">
          <w:marLeft w:val="1166"/>
          <w:marRight w:val="0"/>
          <w:marTop w:val="72"/>
          <w:marBottom w:val="0"/>
          <w:divBdr>
            <w:top w:val="none" w:sz="0" w:space="0" w:color="auto"/>
            <w:left w:val="none" w:sz="0" w:space="0" w:color="auto"/>
            <w:bottom w:val="none" w:sz="0" w:space="0" w:color="auto"/>
            <w:right w:val="none" w:sz="0" w:space="0" w:color="auto"/>
          </w:divBdr>
        </w:div>
      </w:divsChild>
    </w:div>
    <w:div w:id="2074966103">
      <w:bodyDiv w:val="1"/>
      <w:marLeft w:val="0"/>
      <w:marRight w:val="0"/>
      <w:marTop w:val="0"/>
      <w:marBottom w:val="0"/>
      <w:divBdr>
        <w:top w:val="none" w:sz="0" w:space="0" w:color="auto"/>
        <w:left w:val="none" w:sz="0" w:space="0" w:color="auto"/>
        <w:bottom w:val="none" w:sz="0" w:space="0" w:color="auto"/>
        <w:right w:val="none" w:sz="0" w:space="0" w:color="auto"/>
      </w:divBdr>
    </w:div>
    <w:div w:id="2076078527">
      <w:bodyDiv w:val="1"/>
      <w:marLeft w:val="0"/>
      <w:marRight w:val="0"/>
      <w:marTop w:val="0"/>
      <w:marBottom w:val="0"/>
      <w:divBdr>
        <w:top w:val="none" w:sz="0" w:space="0" w:color="auto"/>
        <w:left w:val="none" w:sz="0" w:space="0" w:color="auto"/>
        <w:bottom w:val="none" w:sz="0" w:space="0" w:color="auto"/>
        <w:right w:val="none" w:sz="0" w:space="0" w:color="auto"/>
      </w:divBdr>
      <w:divsChild>
        <w:div w:id="26296581">
          <w:marLeft w:val="720"/>
          <w:marRight w:val="1987"/>
          <w:marTop w:val="122"/>
          <w:marBottom w:val="0"/>
          <w:divBdr>
            <w:top w:val="none" w:sz="0" w:space="0" w:color="auto"/>
            <w:left w:val="none" w:sz="0" w:space="0" w:color="auto"/>
            <w:bottom w:val="none" w:sz="0" w:space="0" w:color="auto"/>
            <w:right w:val="none" w:sz="0" w:space="0" w:color="auto"/>
          </w:divBdr>
        </w:div>
        <w:div w:id="79639303">
          <w:marLeft w:val="720"/>
          <w:marRight w:val="1858"/>
          <w:marTop w:val="120"/>
          <w:marBottom w:val="0"/>
          <w:divBdr>
            <w:top w:val="none" w:sz="0" w:space="0" w:color="auto"/>
            <w:left w:val="none" w:sz="0" w:space="0" w:color="auto"/>
            <w:bottom w:val="none" w:sz="0" w:space="0" w:color="auto"/>
            <w:right w:val="none" w:sz="0" w:space="0" w:color="auto"/>
          </w:divBdr>
        </w:div>
        <w:div w:id="238831017">
          <w:marLeft w:val="720"/>
          <w:marRight w:val="1858"/>
          <w:marTop w:val="120"/>
          <w:marBottom w:val="0"/>
          <w:divBdr>
            <w:top w:val="none" w:sz="0" w:space="0" w:color="auto"/>
            <w:left w:val="none" w:sz="0" w:space="0" w:color="auto"/>
            <w:bottom w:val="none" w:sz="0" w:space="0" w:color="auto"/>
            <w:right w:val="none" w:sz="0" w:space="0" w:color="auto"/>
          </w:divBdr>
        </w:div>
        <w:div w:id="499739319">
          <w:marLeft w:val="720"/>
          <w:marRight w:val="1987"/>
          <w:marTop w:val="122"/>
          <w:marBottom w:val="0"/>
          <w:divBdr>
            <w:top w:val="none" w:sz="0" w:space="0" w:color="auto"/>
            <w:left w:val="none" w:sz="0" w:space="0" w:color="auto"/>
            <w:bottom w:val="none" w:sz="0" w:space="0" w:color="auto"/>
            <w:right w:val="none" w:sz="0" w:space="0" w:color="auto"/>
          </w:divBdr>
        </w:div>
        <w:div w:id="1061058835">
          <w:marLeft w:val="720"/>
          <w:marRight w:val="1987"/>
          <w:marTop w:val="122"/>
          <w:marBottom w:val="0"/>
          <w:divBdr>
            <w:top w:val="none" w:sz="0" w:space="0" w:color="auto"/>
            <w:left w:val="none" w:sz="0" w:space="0" w:color="auto"/>
            <w:bottom w:val="none" w:sz="0" w:space="0" w:color="auto"/>
            <w:right w:val="none" w:sz="0" w:space="0" w:color="auto"/>
          </w:divBdr>
        </w:div>
        <w:div w:id="1062942420">
          <w:marLeft w:val="720"/>
          <w:marRight w:val="1987"/>
          <w:marTop w:val="122"/>
          <w:marBottom w:val="0"/>
          <w:divBdr>
            <w:top w:val="none" w:sz="0" w:space="0" w:color="auto"/>
            <w:left w:val="none" w:sz="0" w:space="0" w:color="auto"/>
            <w:bottom w:val="none" w:sz="0" w:space="0" w:color="auto"/>
            <w:right w:val="none" w:sz="0" w:space="0" w:color="auto"/>
          </w:divBdr>
        </w:div>
        <w:div w:id="1441603338">
          <w:marLeft w:val="720"/>
          <w:marRight w:val="1987"/>
          <w:marTop w:val="122"/>
          <w:marBottom w:val="0"/>
          <w:divBdr>
            <w:top w:val="none" w:sz="0" w:space="0" w:color="auto"/>
            <w:left w:val="none" w:sz="0" w:space="0" w:color="auto"/>
            <w:bottom w:val="none" w:sz="0" w:space="0" w:color="auto"/>
            <w:right w:val="none" w:sz="0" w:space="0" w:color="auto"/>
          </w:divBdr>
        </w:div>
        <w:div w:id="1678772827">
          <w:marLeft w:val="720"/>
          <w:marRight w:val="1987"/>
          <w:marTop w:val="122"/>
          <w:marBottom w:val="0"/>
          <w:divBdr>
            <w:top w:val="none" w:sz="0" w:space="0" w:color="auto"/>
            <w:left w:val="none" w:sz="0" w:space="0" w:color="auto"/>
            <w:bottom w:val="none" w:sz="0" w:space="0" w:color="auto"/>
            <w:right w:val="none" w:sz="0" w:space="0" w:color="auto"/>
          </w:divBdr>
        </w:div>
        <w:div w:id="1866937386">
          <w:marLeft w:val="720"/>
          <w:marRight w:val="1987"/>
          <w:marTop w:val="122"/>
          <w:marBottom w:val="0"/>
          <w:divBdr>
            <w:top w:val="none" w:sz="0" w:space="0" w:color="auto"/>
            <w:left w:val="none" w:sz="0" w:space="0" w:color="auto"/>
            <w:bottom w:val="none" w:sz="0" w:space="0" w:color="auto"/>
            <w:right w:val="none" w:sz="0" w:space="0" w:color="auto"/>
          </w:divBdr>
        </w:div>
      </w:divsChild>
    </w:div>
    <w:div w:id="21147854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emf"/><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16" Type="http://schemas.openxmlformats.org/officeDocument/2006/relationships/image" Target="media/image7.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8AECF1D-E60C-4A3D-9F44-B8B8F87BC9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876</TotalTime>
  <Pages>65</Pages>
  <Words>9781</Words>
  <Characters>55756</Characters>
  <Application>Microsoft Office Word</Application>
  <DocSecurity>0</DocSecurity>
  <Lines>464</Lines>
  <Paragraphs>130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65407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Doug</dc:creator>
  <cp:keywords/>
  <dc:description/>
  <cp:lastModifiedBy>vickie hamilton</cp:lastModifiedBy>
  <cp:revision>42</cp:revision>
  <dcterms:created xsi:type="dcterms:W3CDTF">2022-07-16T20:25:00Z</dcterms:created>
  <dcterms:modified xsi:type="dcterms:W3CDTF">2022-07-18T06:18:00Z</dcterms:modified>
</cp:coreProperties>
</file>